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Subvention à une association. Élus municipaux intéressés</w:t>
      </w:r>
    </w:p>
    <w:p>
      <w:pPr>
        <w:pStyle w:val="Heading2"/>
      </w:pPr>
      <w:r>
        <w:rPr/>
        <w:t xml:space="preserve">Revue - Vie Communale</w:t>
      </w:r>
    </w:p>
    <w:p>
      <w:pPr>
        <w:pStyle w:val="Heading3"/>
      </w:pPr>
      <w:r>
        <w:rPr/>
        <w:t xml:space="preserve">Source - JO AN - JO Sénat</w:t>
      </w:r>
    </w:p>
    <w:p/>
    <w:p>
      <w:pPr/>
      <w:r>
        <w:rPr>
          <w:b w:val="1"/>
          <w:bCs w:val="1"/>
        </w:rPr>
        <w:t xml:space="preserve">Principe.</w:t>
      </w:r>
    </w:p>
    <w:p>
      <w:pPr/>
      <w:r>
        <w:rPr/>
        <w:t xml:space="preserve"> L'article L 2131-11 du CGCT dispose que «  Sont illégales les délibérations auxquelles ont pris part un ou  plusieurs membres du conseil intéressés à l'affaire qui en fait l'objet,  soit en leur nom personnel, soit comme mandataires ». Les conseillers  municipaux doivent ainsi s'abstenir de participer à l'examen de  l'affaire à laquelle ils sont intéressés. </w:t>
      </w:r>
    </w:p>
    <w:p>
      <w:pPr/>
      <w:r>
        <w:rPr>
          <w:b w:val="1"/>
          <w:bCs w:val="1"/>
        </w:rPr>
        <w:t xml:space="preserve">Jurisprudence. </w:t>
      </w:r>
    </w:p>
    <w:p>
      <w:pPr/>
      <w:r>
        <w:rPr/>
        <w:t xml:space="preserve">D'une façon générale, le Conseil  d'Etat admet que l'intérêt à l'affaire existe dès lors qu'il ne se  confond pas avec les intérêts de la généralité des habitants de la  commune (CE, 16 décembre 1994, </w:t>
      </w:r>
    </w:p>
    <w:p>
      <w:pPr/>
      <w:hyperlink r:id="rId7" w:history="1">
        <w:r>
          <w:rPr/>
          <w:t xml:space="preserve">commune d'Oullins</w:t>
        </w:r>
      </w:hyperlink>
    </w:p>
    <w:p>
      <w:pPr/>
      <w:r>
        <w:rPr/>
        <w:t xml:space="preserve">,  n° 145370). Il résulte de la jurisprudence administrative qu'est  intéressé à l'affaire le conseiller, président-directeur général d'une  société qui exploite un théâtre, propriété de la commune, lorsque le  conseil municipal délibère sur des demandes de subventions en vue de  travaux de réaménagement de la salle de théâtre (CE, 23 septembre 1987, </w:t>
      </w:r>
    </w:p>
    <w:p>
      <w:pPr/>
      <w:hyperlink r:id="rId8" w:history="1">
        <w:r>
          <w:rPr/>
          <w:t xml:space="preserve">Écorcheville</w:t>
        </w:r>
      </w:hyperlink>
    </w:p>
    <w:p>
      <w:pPr/>
      <w:r>
        <w:rPr/>
        <w:t xml:space="preserve">,  n° 65014). Sont également intéressés les conseillers municipaux,  président et membres du conseil d'administration d'une association  gérant une maison de retraite, qui prennent part aux délibérations  accordant des garanties d'emprunt à l'association parce que cette  dernière, bien que dépourvue de but lucratif, poursuit des intérêts ne  se confondant pas avec ceux de la généralité des habitants (CE, 9  juillet 2003, </w:t>
      </w:r>
    </w:p>
    <w:p>
      <w:pPr/>
      <w:hyperlink r:id="rId9" w:history="1">
        <w:r>
          <w:rPr/>
          <w:t xml:space="preserve">Caisse régionale de Crédit agricole mutuel de Champagne-Bourgogne</w:t>
        </w:r>
      </w:hyperlink>
    </w:p>
    <w:p>
      <w:pPr/>
      <w:r>
        <w:rPr/>
        <w:t xml:space="preserve">,  n° 248344). Le Conseil d'Etat précise que la participation du  conseiller municipal intéressé, pour vicier la délibération, doit être  de nature à exercer une influence décisive sur le résultat du vote (CE,  26 février 1982, </w:t>
      </w:r>
    </w:p>
    <w:p>
      <w:pPr/>
      <w:hyperlink r:id="rId10" w:history="1">
        <w:r>
          <w:rPr/>
          <w:t xml:space="preserve">association renaissance d'Uzès</w:t>
        </w:r>
      </w:hyperlink>
    </w:p>
    <w:p>
      <w:pPr/>
      <w:r>
        <w:rPr/>
        <w:t xml:space="preserve">, n°</w:t>
      </w:r>
    </w:p>
    <w:p>
      <w:pPr/>
      <w:r>
        <w:rPr>
          <w:vertAlign w:val="superscript"/>
        </w:rPr>
        <w:t xml:space="preserve">s</w:t>
      </w:r>
    </w:p>
    <w:p>
      <w:pPr/>
      <w:r>
        <w:rPr/>
        <w:t xml:space="preserve"> 12440 et 21704). </w:t>
      </w:r>
    </w:p>
    <w:p>
      <w:pPr/>
      <w:r>
        <w:rPr>
          <w:b w:val="1"/>
          <w:bCs w:val="1"/>
        </w:rPr>
        <w:t xml:space="preserve">Conduite à adopter.</w:t>
      </w:r>
    </w:p>
    <w:p>
      <w:pPr/>
      <w:r>
        <w:rPr/>
        <w:t xml:space="preserve"> Plus largement, la participation  au vote permettant l'adoption d'une délibération par une personne  intéressée à l'affaire est à elle seule de nature à entraîner  l'illégalité de cette délibération (CE, 21 novembre 2012, </w:t>
      </w:r>
    </w:p>
    <w:p>
      <w:pPr/>
      <w:hyperlink r:id="rId11" w:history="1">
        <w:r>
          <w:rPr/>
          <w:t xml:space="preserve">commune de Vaux-sur-Vienne</w:t>
        </w:r>
      </w:hyperlink>
    </w:p>
    <w:p>
      <w:pPr/>
      <w:r>
        <w:rPr/>
        <w:t xml:space="preserve">,  n° 334726). Ainsi, un conseiller municipal, même simple adhérent à une  association, peut être considéré comme intéressé à l'affaire s'il  participe à une délibération allouant une subvention de la commune à  ladite association. Il convient donc que les conseillers intéressés ne  participent pas au vote. </w:t>
      </w:r>
    </w:p>
    <w:p>
      <w:pPr/>
      <w:r>
        <w:rPr>
          <w:b w:val="1"/>
          <w:bCs w:val="1"/>
        </w:rPr>
        <w:t xml:space="preserve">Quorum.</w:t>
      </w:r>
    </w:p>
    <w:p>
      <w:pPr/>
      <w:r>
        <w:rPr/>
        <w:t xml:space="preserve"> Pour le calcul du quorum en particulier, le  Conseil d'État considère que les conseillers municipaux intéressés ne  doivent pas être pris en compte (CE, 19 janvier 1983,</w:t>
      </w:r>
    </w:p>
    <w:p>
      <w:pPr/>
      <w:hyperlink r:id="rId12" w:history="1">
        <w:r>
          <w:rPr>
            <w:i w:val="1"/>
            <w:iCs w:val="1"/>
          </w:rPr>
          <w:t xml:space="preserve">Chauré</w:t>
        </w:r>
      </w:hyperlink>
    </w:p>
    <w:p>
      <w:pPr/>
      <w:r>
        <w:rPr/>
        <w:t xml:space="preserve">, n° 33241) (</w:t>
      </w:r>
    </w:p>
    <w:p>
      <w:pPr/>
      <w:r>
        <w:rPr>
          <w:i w:val="1"/>
          <w:iCs w:val="1"/>
        </w:rPr>
        <w:t xml:space="preserve">JO </w:t>
      </w:r>
    </w:p>
    <w:p>
      <w:pPr/>
      <w:r>
        <w:rPr/>
        <w:t xml:space="preserve">Sénat, 10.06.2021, question n° 21385, p. 3699).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862345" TargetMode="External"/><Relationship Id="rId8" Type="http://schemas.openxmlformats.org/officeDocument/2006/relationships/hyperlink" Target="https://www.legifrance.gouv.fr/ceta/id/CETATEXT000007737500" TargetMode="External"/><Relationship Id="rId9" Type="http://schemas.openxmlformats.org/officeDocument/2006/relationships/hyperlink" Target="https://www.legifrance.gouv.fr/ceta/id/CETATEXT000008204688" TargetMode="External"/><Relationship Id="rId10" Type="http://schemas.openxmlformats.org/officeDocument/2006/relationships/hyperlink" Target="https://www.legifrance.gouv.fr/ceta/id/CETATEXT000007670897" TargetMode="External"/><Relationship Id="rId11" Type="http://schemas.openxmlformats.org/officeDocument/2006/relationships/hyperlink" Target="https://www.legifrance.gouv.fr/ceta/id/CETATEXT000026664215" TargetMode="External"/><Relationship Id="rId12" Type="http://schemas.openxmlformats.org/officeDocument/2006/relationships/hyperlink" Target="https://www.legifrance.gouv.fr/ceta/id/CETATEXT000007679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2025-07-28T03:09:32+00:00</dcterms:created>
  <dcterms:modified xsi:type="dcterms:W3CDTF">2025-07-28T03:09:32+00:00</dcterms:modified>
</cp:coreProperties>
</file>

<file path=docProps/custom.xml><?xml version="1.0" encoding="utf-8"?>
<Properties xmlns="http://schemas.openxmlformats.org/officeDocument/2006/custom-properties" xmlns:vt="http://schemas.openxmlformats.org/officeDocument/2006/docPropsVTypes"/>
</file>