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Location en tant que meublés de tourisme de locaux commerciaux. Locaux commerciaux concernés et procédures</w:t>
      </w:r>
    </w:p>
    <w:p>
      <w:pPr>
        <w:pStyle w:val="Heading2"/>
      </w:pPr>
      <w:r>
        <w:rPr/>
        <w:t xml:space="preserve">Revue - Vie Communale</w:t>
      </w:r>
    </w:p>
    <w:p>
      <w:pPr>
        <w:pStyle w:val="Heading3"/>
      </w:pPr>
      <w:r>
        <w:rPr/>
        <w:t xml:space="preserve">Source - JO</w:t>
      </w:r>
    </w:p>
    <w:p/>
    <w:p>
      <w:pPr/>
      <w:hyperlink r:id="rId7" w:history="1">
        <w:r>
          <w:rPr/>
          <w:t xml:space="preserve">L'article 55</w:t>
        </w:r>
      </w:hyperlink>
    </w:p>
    <w:p>
      <w:pPr/>
      <w:r>
        <w:rPr/>
        <w:t xml:space="preserve"> de la loi n° 2019-1461 du 27 décembre 2019 relative à l'engagement dans la vie locale et à la proximité de l'action publique autorise certaines communes à soumettre à autorisation la location en tant que meublés de tourisme de locaux commerciaux, afin de protéger l'environnement urbain et de préserver l'équilibre entre emploi, habitat, commerces et services sur leur territoire. Le décret n° 2021-757 du 11 juin 2021 précise quels sont les locaux commerciaux concernés par cette faculté. Il indique également la manière dont les communes précisent les principes de mise en œuvre sur leur territoire des objectifs déterminés par la loi lorsqu'elles décident d'instaurer cette procédure d'autorisation. Le décret précise deux procédures alternatives, selon que la transformation d'un local commercial en meublé de tourisme est par ailleurs soumise, ou non, à une autre autorisation prévue par le code de l'urbanisme. L'objectif est d'inscrire, dès lors que cela est possible, la nouvelle demande dans le cadre de procédures existantes afin de simplifier les démarches des demandeurs comme des collectivités territoriales. Sauf disposition contraire, la procédure instaurée par l'article R 324-1-6 du code du tourisme est soumise aux règles générales du code des relations entre le public et l'administration.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JORFTEXT00003968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2025-07-28T03:03:43+00:00</dcterms:created>
  <dcterms:modified xsi:type="dcterms:W3CDTF">2025-07-28T03:03:43+00:00</dcterms:modified>
</cp:coreProperties>
</file>

<file path=docProps/custom.xml><?xml version="1.0" encoding="utf-8"?>
<Properties xmlns="http://schemas.openxmlformats.org/officeDocument/2006/custom-properties" xmlns:vt="http://schemas.openxmlformats.org/officeDocument/2006/docPropsVTypes"/>
</file>