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Taxe sur les surfaces commerciales (TaSCom). Elargissement du bénéfice de la réduction de taux de 20 %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La taxe sur les surfaces commerciales (TaSCom) s'applique aux établissements de vente au détail d'une surface de plus de 400 m2, mais également aux établissements de moins de 400 m</w:t>
      </w:r>
    </w:p>
    <w:p>
      <w:pPr/>
      <w:r>
        <w:rPr>
          <w:vertAlign w:val="superscript"/>
        </w:rPr>
        <w:t xml:space="preserve">2</w:t>
      </w:r>
    </w:p>
    <w:p>
      <w:pPr/>
      <w:r>
        <w:rPr/>
        <w:t xml:space="preserve"> contrôlés directement ou indirectement par une même personne (réseau intégré) et exploités sous une même enseigne commerciale lorsque la surface totale des points de vente excède 4 000 m</w:t>
      </w:r>
    </w:p>
    <w:p>
      <w:pPr/>
      <w:r>
        <w:rPr>
          <w:vertAlign w:val="superscript"/>
        </w:rPr>
        <w:t xml:space="preserve">2</w:t>
      </w:r>
    </w:p>
    <w:p>
      <w:pPr/>
      <w:r>
        <w:rPr/>
        <w:t xml:space="preserve">. En application du dix-huitième alinéa de l'article 3 de la loi n° 72-657 du 13 juillet 1972 instituant des mesures en faveur de certaines catégories de commerçants et artisans âgés, le taux de la TaSCom fait l'objet d'une réduction, fixée par décret à 20 %, pour les seuls établissements dont la surface est comprise entre 400 m</w:t>
      </w:r>
    </w:p>
    <w:p>
      <w:pPr/>
      <w:r>
        <w:rPr>
          <w:vertAlign w:val="superscript"/>
        </w:rPr>
        <w:t xml:space="preserve">2</w:t>
      </w:r>
    </w:p>
    <w:p>
      <w:pPr/>
      <w:r>
        <w:rPr/>
        <w:t xml:space="preserve"> et 600 m</w:t>
      </w:r>
    </w:p>
    <w:p>
      <w:pPr/>
      <w:r>
        <w:rPr>
          <w:vertAlign w:val="superscript"/>
        </w:rPr>
        <w:t xml:space="preserve">2</w:t>
      </w:r>
    </w:p>
    <w:p>
      <w:pPr/>
      <w:r>
        <w:rPr/>
        <w:t xml:space="preserve">, lorsque leur chiffre d'affaires par mètre carré n'excède pas 3 800 €. </w:t>
      </w:r>
    </w:p>
    <w:p>
      <w:pPr/>
      <w:hyperlink r:id="rId7" w:history="1">
        <w:r>
          <w:rPr/>
          <w:t xml:space="preserve">L'article 136</w:t>
        </w:r>
      </w:hyperlink>
    </w:p>
    <w:p>
      <w:pPr/>
      <w:r>
        <w:rPr/>
        <w:t xml:space="preserve"> de la loi n° 2020-1721 du 29 décembre 2020 de finances pour 2021 a modifié cette disposition afin de faire également bénéficier de la réduction de taux les établissements assujettis à la TaSCom dont la surface de vente au détail est inférieure à 400 m</w:t>
      </w:r>
    </w:p>
    <w:p>
      <w:pPr/>
      <w:r>
        <w:rPr>
          <w:vertAlign w:val="superscript"/>
        </w:rPr>
        <w:t xml:space="preserve">2</w:t>
      </w:r>
    </w:p>
    <w:p>
      <w:pPr/>
      <w:r>
        <w:rPr/>
        <w:t xml:space="preserve">. Désormais, la réduction de taux de 20 % s'applique donc, sous les mêmes conditions de chiffre d'affaires par mètre carré, à tous les établissements dont la surface des locaux de vente destinés à la vente au détail est inférieure à 600 m</w:t>
      </w:r>
    </w:p>
    <w:p>
      <w:pPr/>
      <w:r>
        <w:rPr>
          <w:vertAlign w:val="superscript"/>
        </w:rPr>
        <w:t xml:space="preserve">2</w:t>
      </w:r>
    </w:p>
    <w:p>
      <w:pPr/>
      <w:r>
        <w:rPr/>
        <w:t xml:space="preserve">. Le décret modifie les termes de </w:t>
      </w:r>
    </w:p>
    <w:p>
      <w:pPr/>
      <w:hyperlink r:id="rId8" w:history="1">
        <w:r>
          <w:rPr/>
          <w:t xml:space="preserve">l'article 3</w:t>
        </w:r>
      </w:hyperlink>
    </w:p>
    <w:p>
      <w:pPr/>
      <w:r>
        <w:rPr/>
        <w:t xml:space="preserve"> du décret n° 95-85 du 26 janvier 1995, qui fixe les modalités et le taux de cette réduction, afin de les mettre en conformité avec la loi n° 72-657 du 13 juillet 1972 dans sa version issue de la loi de finances pour 2021.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idTexte=JORFTEXT000042753580" TargetMode="External"/><Relationship Id="rId8" Type="http://schemas.openxmlformats.org/officeDocument/2006/relationships/hyperlink" Target="http://cidTexte=JORFTEXT0000003692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2025-07-29T05:10:59+00:00</dcterms:created>
  <dcterms:modified xsi:type="dcterms:W3CDTF">2025-07-29T05:10:59+00:00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