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Péril imminent. Frais et honoraires d’expertise. Prise en charge en cas de réalisation des mesures prescrites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Si le propriétaire de l'immeuble a réalisé les mesures prescrites par l'arrêté de péril imminent, la collectivité n’a pas à procéder au recouvrement des sommes correspondant aux frais d'expertise et elle les supporte donc définitivement (CAA Nantes, 26 mars 2021, </w:t>
      </w:r>
    </w:p>
    <w:p>
      <w:pPr/>
      <w:r>
        <w:rPr>
          <w:i w:val="1"/>
          <w:iCs w:val="1"/>
        </w:rPr>
        <w:t xml:space="preserve">Nantes Métropole</w:t>
      </w:r>
    </w:p>
    <w:p>
      <w:pPr/>
      <w:r>
        <w:rPr/>
        <w:t xml:space="preserve">, n° 20NT01272).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2025-07-29T03:55:47+00:00</dcterms:created>
  <dcterms:modified xsi:type="dcterms:W3CDTF">2025-07-29T03:55:47+00:00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