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Contrôle de la vitesse. Rôle du maire et des adjoints en qualité d'OPJ. Acquisition et utilisation d'appareils de mesure de vitesse (oui)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Les maires et leurs adjoints peuvent constater les infractions au code de la route, et notamment les contraventions prévues aux articles R 413-14 et suivants du code de la route. Ces contraventions peuvent d'ailleurs faire l'objet de la procédure d'amende forfaitaire prévue par l'article 529 du code de procédure pénale, conformément à l'article R 48-1 1° du même code. De ce fait, les maires et leurs adjoints peuvent utiliser tous les moyens homologués pour constater ces infractions et, s'agissant des infractions à la vitesse, des appareils de mesure </w:t>
      </w:r>
    </w:p>
    <w:p>
      <w:pPr/>
      <w:r>
        <w:rPr>
          <w:i w:val="1"/>
          <w:iCs w:val="1"/>
        </w:rPr>
        <w:t xml:space="preserve">ad hoc</w:t>
      </w:r>
    </w:p>
    <w:p>
      <w:pPr/>
      <w:r>
        <w:rPr/>
        <w:t xml:space="preserve">, dûment vérifiés conformément aux dispositions de l'arrêté du 4 juin 2009 relatif aux cinémomètres de contrôle routier, pour, le cas échéant, verbaliser les contrevenants (</w:t>
      </w:r>
    </w:p>
    <w:p>
      <w:pPr/>
      <w:r>
        <w:rPr>
          <w:i w:val="1"/>
          <w:iCs w:val="1"/>
        </w:rPr>
        <w:t xml:space="preserve">JO </w:t>
      </w:r>
    </w:p>
    <w:p>
      <w:pPr/>
      <w:r>
        <w:rPr/>
        <w:t xml:space="preserve">AN, 06.04.2021, question n° 32829, p. 3066).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2025-07-29T04:56:32+00:00</dcterms:created>
  <dcterms:modified xsi:type="dcterms:W3CDTF">2025-07-29T04:56:32+00:00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