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Radiation des cadres pour abandon de poste. Absence de mise en demeure. Procédure irrégulière. Indemnisation (non)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En l'espèce, un agent dont la radiation des cadres a été annulée par le tribunal administratif par jugement devenu définitif, et qui a été réintégré par sa collectivité, demande une indemnisation.  </w:t>
      </w:r>
    </w:p>
    <w:p>
      <w:pPr/>
      <w:r>
        <w:rPr>
          <w:b w:val="1"/>
          <w:bCs w:val="1"/>
        </w:rPr>
        <w:t xml:space="preserve">1.</w:t>
      </w:r>
    </w:p>
    <w:p>
      <w:pPr/>
      <w:r>
        <w:rPr/>
        <w:t xml:space="preserve"> Une mesure de radiation des cadres pour abandon de poste ne peut être régulièrement prononcée que si l'agent concerné a, préalablement à cette décision, été mis en demeure de rejoindre son poste ou de reprendre son service dans un délai qu'il appartient à l'administration de fixer. </w:t>
      </w:r>
    </w:p>
    <w:p>
      <w:pPr/>
      <w:r>
        <w:rPr>
          <w:b w:val="1"/>
          <w:bCs w:val="1"/>
        </w:rPr>
        <w:t xml:space="preserve">2. </w:t>
      </w:r>
    </w:p>
    <w:p>
      <w:pPr/>
      <w:r>
        <w:rPr/>
        <w:t xml:space="preserve">En l’absence de cette mise en demeure, l’illégalité de l’arrêté de radiation n'est cependant de nature à justifier une indemnisation que si cette faute a été à l'origine d'un préjudice direct et certain. </w:t>
      </w:r>
    </w:p>
    <w:p>
      <w:pPr/>
      <w:r>
        <w:rPr>
          <w:b w:val="1"/>
          <w:bCs w:val="1"/>
        </w:rPr>
        <w:t xml:space="preserve">3.</w:t>
      </w:r>
    </w:p>
    <w:p>
      <w:pPr/>
      <w:r>
        <w:rPr/>
        <w:t xml:space="preserve"> En l’espèce, l’agent a été placé en arrêt de maladie et a transmis un arrêt de travail de prolongation. La commune a alors décidé de le soumettre à une contre-visite médicale en lui indiquant par courrier qu'il encourait une radiation des cadres s'il ne réintégrait pas ses fonctions en cas d'avis du médecin agréé favorable à la reprise du travail. A l'issue de cette visite, le médecin a conclu que l’agent était apte à la reprise du travail à compter du même jour. Dans ces circonstances, en ne rejoignant pas son poste et en ne faisant état d'aucun obstacle l'empêchant de le rejoindre, l’agent est lui-même à l'origine du préjudice qu'il allègue. En conséquence, il n'est pas fondé à en demander l'indemnisation par la commune (CAA Nancy, 4 février 2021, </w:t>
      </w:r>
    </w:p>
    <w:p>
      <w:pPr/>
      <w:r>
        <w:rPr>
          <w:i w:val="1"/>
          <w:iCs w:val="1"/>
        </w:rPr>
        <w:t xml:space="preserve">M. A.</w:t>
      </w:r>
    </w:p>
    <w:p>
      <w:pPr/>
      <w:r>
        <w:rPr/>
        <w:t xml:space="preserve">, n° 18NC03251).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2025-07-27T19:41:32+00:00</dcterms:created>
  <dcterms:modified xsi:type="dcterms:W3CDTF">2025-07-27T19:41:32+00:00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