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Marchés publics. Nouveaux CCAG au 1er avril 2021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Plusieurs arrêtés du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 avril 2021 approuvent les nouveaux cahiers des clauses administratives générales. Ils s'appliquent aux marchés publics pour lesquels une consultation est engagée ou un avis d'appel à la concurrence envoyé à la publication à compter de cette date. Toutefois, jusqu'au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 octobre 2021, les acheteurs publics peuvent faire référence aux anciens cahiers des clauses administratives générales Ces documents fixent les conditions d'exécution de nature administrative applicables à ces catégories de marchés publics. Leur utilisation n'est pas obligatoire ; ils ne s'appliquent qu'aux marchés publics qui s'y réfèrent expressément et il est possible de s'y référer tout en dérogeant à certaines de ses clauses dans les documents particuliers du marché. </w:t>
      </w:r>
    </w:p>
    <w:p>
      <w:pPr>
        <w:numPr>
          <w:ilvl w:val="0"/>
          <w:numId w:val="4"/>
        </w:numPr>
      </w:pPr>
      <w:hyperlink r:id="rId7" w:history="1">
        <w:r>
          <w:rPr>
            <w:i w:val="1"/>
            <w:iCs w:val="1"/>
          </w:rPr>
          <w:t xml:space="preserve">CCAG - Marchés publics de fournitures courantes et de services</w:t>
        </w:r>
      </w:hyperlink>
    </w:p>
    <w:p>
      <w:pPr>
        <w:numPr>
          <w:ilvl w:val="0"/>
          <w:numId w:val="4"/>
        </w:numPr>
      </w:pPr>
      <w:hyperlink r:id="rId8" w:history="1">
        <w:r>
          <w:rPr>
            <w:i w:val="1"/>
            <w:iCs w:val="1"/>
          </w:rPr>
          <w:t xml:space="preserve"> CCAG - Marchés publics de travaux</w:t>
        </w:r>
      </w:hyperlink>
    </w:p>
    <w:p>
      <w:pPr>
        <w:numPr>
          <w:ilvl w:val="0"/>
          <w:numId w:val="4"/>
        </w:numPr>
      </w:pPr>
      <w:hyperlink r:id="rId9" w:history="1">
        <w:r>
          <w:rPr>
            <w:i w:val="1"/>
            <w:iCs w:val="1"/>
          </w:rPr>
          <w:t xml:space="preserve">CCAG - Marchés publics de prestations intellectuelles</w:t>
        </w:r>
      </w:hyperlink>
    </w:p>
    <w:p>
      <w:pPr>
        <w:numPr>
          <w:ilvl w:val="0"/>
          <w:numId w:val="4"/>
        </w:numPr>
      </w:pPr>
      <w:hyperlink r:id="rId10" w:history="1">
        <w:r>
          <w:rPr>
            <w:i w:val="1"/>
            <w:iCs w:val="1"/>
          </w:rPr>
          <w:t xml:space="preserve">CCAG - Marchés publics de techniques de l'information et de la communication</w:t>
        </w:r>
      </w:hyperlink>
    </w:p>
    <w:p>
      <w:pPr>
        <w:numPr>
          <w:ilvl w:val="0"/>
          <w:numId w:val="4"/>
        </w:numPr>
      </w:pPr>
      <w:hyperlink r:id="rId11" w:history="1">
        <w:r>
          <w:rPr>
            <w:i w:val="1"/>
            <w:iCs w:val="1"/>
          </w:rPr>
          <w:t xml:space="preserve">CCAG - Marchés publics de maîtrise d'œuvre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CA7FBB26"/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◦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◦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eli/arrete/2021/3/30/ECOM2106868A/jo/article_snum1" TargetMode="External"/><Relationship Id="rId8" Type="http://schemas.openxmlformats.org/officeDocument/2006/relationships/hyperlink" Target="https://www.legifrance.gouv.fr/eli/arrete/2021/3/30/ECOM2106871A/jo/article_snum1" TargetMode="External"/><Relationship Id="rId9" Type="http://schemas.openxmlformats.org/officeDocument/2006/relationships/hyperlink" Target="https://www.legifrance.gouv.fr/jorf/article_jo/JORFARTI000043310623" TargetMode="External"/><Relationship Id="rId10" Type="http://schemas.openxmlformats.org/officeDocument/2006/relationships/hyperlink" Target="https://www.legifrance.gouv.fr/eli/arrete/2021/3/30/ECOM2106875A/jo/article_snum1" TargetMode="External"/><Relationship Id="rId11" Type="http://schemas.openxmlformats.org/officeDocument/2006/relationships/hyperlink" Target="https://www.legifrance.gouv.fr/eli/arrete/2021/3/30/ECOM2106877A/jo/article_snum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2025-07-29T05:24:04+00:00</dcterms:created>
  <dcterms:modified xsi:type="dcterms:W3CDTF">2025-07-29T05:24:04+00:00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