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Covid-19. Interdiction temporaire des locations saisonnières. Pouvoir du maire (non)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Le juge des référés du Conseil d’État juge que, en l’absence de raison impérieuse liée à des circonstances locales particulières, l’interdiction par le maire des locations saisonnières du 6 au 20 février 2021 porte une atteinte grave et manifestement illégale au droit de propriété et à la liberté du commerce et de l’industrie (CE, 16 février 2021, </w:t>
      </w:r>
    </w:p>
    <w:p>
      <w:pPr/>
      <w:r>
        <w:rPr>
          <w:i w:val="1"/>
          <w:iCs w:val="1"/>
        </w:rPr>
        <w:t xml:space="preserve">Union des professionnels de la location touristique (UPLT)</w:t>
      </w:r>
    </w:p>
    <w:p>
      <w:pPr/>
      <w:r>
        <w:rPr/>
        <w:t xml:space="preserve">, n° 449605).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2025-07-27T11:48:41+00:00</dcterms:created>
  <dcterms:modified xsi:type="dcterms:W3CDTF">2025-07-27T11:48:41+00:00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