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Capital décès servi aux ayants droit de l'agent public décédé. Modification temporaire des modalités de calcul</w:t>
      </w:r>
    </w:p>
    <w:p>
      <w:pPr>
        <w:pStyle w:val="Heading2"/>
      </w:pPr>
      <w:r>
        <w:rPr/>
        <w:t xml:space="preserve">Revue - Fonction Publique Territoriale</w:t>
      </w:r>
    </w:p>
    <w:p>
      <w:pPr>
        <w:pStyle w:val="Heading3"/>
      </w:pPr>
      <w:r>
        <w:rPr/>
        <w:t xml:space="preserve">Source - JO</w:t>
      </w:r>
    </w:p>
    <w:p/>
    <w:p>
      <w:pPr/>
      <w:r>
        <w:rPr/>
        <w:t xml:space="preserve"> Le décret n° 2021-176 du 17 février 2021 modifie les modalités de calcul du capital décès versé aux ayants droit de l'agent public décédé entre le 1</w:t>
      </w:r>
    </w:p>
    <w:p>
      <w:pPr/>
      <w:r>
        <w:rPr>
          <w:vertAlign w:val="superscript"/>
        </w:rPr>
        <w:t xml:space="preserve">er</w:t>
      </w:r>
    </w:p>
    <w:p>
      <w:pPr/>
      <w:r>
        <w:rPr/>
        <w:t xml:space="preserve"> janvier 2021 et le 31 décembre 2021. Il prévoit que le montant du capital ne soit plus forfaitaire mais déterminé par la rémunération perçue par l'agent avant son décès. Le montant du capital décès est ainsi égal à la dernière rémunération annuelle d'activité du fonctionnaire, indemnités accessoires comprises, ou aux émoluments perçus par l'affilié à l'institution de retraite complémentaire des agents non titulaires de l'Etat et des collectivités publiques (IRCANTEC) durant les 12 mois précédant la date du décès, desquels est retranché le montant du capital décès servi par le régime général de sécurité sociale, sauf exceptions.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2025-07-28T00:23:31+00:00</dcterms:created>
  <dcterms:modified xsi:type="dcterms:W3CDTF">2025-07-28T00:23:31+00:00</dcterms:modified>
</cp:coreProperties>
</file>

<file path=docProps/custom.xml><?xml version="1.0" encoding="utf-8"?>
<Properties xmlns="http://schemas.openxmlformats.org/officeDocument/2006/custom-properties" xmlns:vt="http://schemas.openxmlformats.org/officeDocument/2006/docPropsVTypes"/>
</file>