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Supplément familial de traitement. Enfant de plus de 20 ans. Enfant à charge (non)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Un enfant de plus de 20 ans ne peut être regardé comme un enfant à charge pour la détermination du droit au supplément familial de traitement des fonctionnaires (CE, 26 janvier 2021, </w:t>
      </w:r>
    </w:p>
    <w:p>
      <w:pPr/>
      <w:r>
        <w:rPr>
          <w:i w:val="1"/>
          <w:iCs w:val="1"/>
        </w:rPr>
        <w:t xml:space="preserve">M. A.</w:t>
      </w:r>
    </w:p>
    <w:p>
      <w:pPr/>
      <w:r>
        <w:rPr/>
        <w:t xml:space="preserve">, n° 433426).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2025-07-28T00:07:55+00:00</dcterms:created>
  <dcterms:modified xsi:type="dcterms:W3CDTF">2025-07-28T00:07:55+00:00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