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Campagne municipale. Diffusion tardive d’arguments nouveaux. Altération de la sincérité du scrutin. Annulation des élections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En l'espèce, le tribunal a relevé deux irrégularités ayant affecté le déroulement de la fin de la campagne électorale. Il s’agissait, d’une part, d’un affichage sauvage à destination des automobilistes qualifiant le maire sortant de menteur, auquel celui-ci n’a pas été en mesure de répondre et, d’autre part, de la publication au sein d’un groupe public Facebook d’allégations mettant en doute sa probité, sans possibilité de réponse. Le tribunal a estimé qu’eu égard au faible écart de 76 voix entre les deux listes, soit 0,9 % des suffrages exprimés, dans un contexte de forte abstention, les deux irrégularités constatées ont altéré la sincérité du scrutin. En conséquence, il a annulé le résultat du premier tour des élections municipales (TA Versailles, 16 novembre 2020, </w:t>
      </w:r>
    </w:p>
    <w:p>
      <w:pPr/>
      <w:r>
        <w:rPr>
          <w:i w:val="1"/>
          <w:iCs w:val="1"/>
        </w:rPr>
        <w:t xml:space="preserve">élections municipales du Chesnay-Rocquencourt</w:t>
      </w:r>
    </w:p>
    <w:p>
      <w:pPr/>
      <w:r>
        <w:rPr/>
        <w:t xml:space="preserve">, n° 2002135).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2025-07-28T06:25:42+00:00</dcterms:created>
  <dcterms:modified xsi:type="dcterms:W3CDTF">2025-07-28T06:25:42+00:00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