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Stationnement des voitures sur le trottoir. Autorisation du maire (conditions)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</w:t>
      </w:r>
    </w:p>
    <w:p>
      <w:pPr/>
      <w:r>
        <w:rPr/>
        <w:t xml:space="preserve"> Dans l'exercice des pouvoirs de police qui lui sont confiés en vertu de l'article L 2213-1 et du 2° de l'article L 2213-2 du CGCT, il appartient au maire de prendre les mesures nécessaires pour concilier les droits de l'ensemble des usagers de la voie publique et les contraintes liées, le cas échéant, à la circulation et au stationnement de leurs véhicules. </w:t>
      </w:r>
    </w:p>
    <w:p>
      <w:pPr/>
      <w:r>
        <w:rPr>
          <w:b w:val="1"/>
          <w:bCs w:val="1"/>
        </w:rPr>
        <w:t xml:space="preserve">2.</w:t>
      </w:r>
    </w:p>
    <w:p>
      <w:pPr/>
      <w:r>
        <w:rPr/>
        <w:t xml:space="preserve"> Si le maire ne saurait légalement, dans l'exercice de ses pouvoirs de police, prendre des mesures contraires au code de la route, les dispositions de l'article R 417-10 de ce code ne font pas obstacle à ce que, lorsque les besoins du stationnement et la configuration de la voie publique le rendent nécessaire, le maire autorise le stationnement de véhicules sur une partie des trottoirs, à condition qu'un passage suffisant soit réservé au cheminement des piétons, notamment de ceux qui sont à mobilité réduite, ainsi qu'à leur accès aux habitations et aux commerces riverains et qu'une signalisation adéquate précise les emplacements autorisés (CE, 8 juillet 2020, </w:t>
      </w:r>
    </w:p>
    <w:p>
      <w:pPr/>
      <w:r>
        <w:rPr>
          <w:i w:val="1"/>
          <w:iCs w:val="1"/>
        </w:rPr>
        <w:t xml:space="preserve">commune d'Olonne-sur-Mer</w:t>
      </w:r>
    </w:p>
    <w:p>
      <w:pPr/>
      <w:r>
        <w:rPr/>
        <w:t xml:space="preserve">, n° 425556).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2025-07-27T12:49:09+00:00</dcterms:created>
  <dcterms:modified xsi:type="dcterms:W3CDTF">2025-07-27T12:49:09+00:00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