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Systèmes d'assainissement collectif et non collectif. Composition du dossier d'autorisation environnementale</w:t>
      </w:r>
    </w:p>
    <w:p>
      <w:pPr>
        <w:pStyle w:val="Heading2"/>
      </w:pPr>
      <w:r>
        <w:rPr/>
        <w:t xml:space="preserve">Revue - Urbanisme</w:t>
      </w:r>
    </w:p>
    <w:p>
      <w:pPr>
        <w:pStyle w:val="Heading3"/>
      </w:pPr>
      <w:r>
        <w:rPr/>
        <w:t xml:space="preserve">Source - JO</w:t>
      </w:r>
    </w:p>
    <w:p/>
    <w:p>
      <w:pPr/>
      <w:r>
        <w:rPr/>
        <w:t xml:space="preserve"> Le décret n° 2020-829 du 30 juin 2020</w:t>
      </w:r>
    </w:p>
    <w:p>
      <w:pPr/>
      <w:r>
        <w:rPr>
          <w:b w:val="1"/>
          <w:bCs w:val="1"/>
        </w:rPr>
        <w:t xml:space="preserve"> </w:t>
      </w:r>
    </w:p>
    <w:p>
      <w:pPr/>
      <w:r>
        <w:rPr/>
        <w:t xml:space="preserve">modifie la composition du dossier d'autorisation environnementale pour les systèmes d'assainissement collectif des eaux ou les installations d'assainissement non collectif, ainsi que pour l'épandage, et le stockage en vue d'épandage, de boues produites dans un ou plusieurs systèmes d'assainissement collectif des eaux usées et installations d'assainissement non collectif.      Le texte entre en vigueur au lendemain de sa publication, mais prévoit des dispositions transitoires permettant son application aux demandes d'autorisations déposées à compter du 1</w:t>
      </w:r>
    </w:p>
    <w:p>
      <w:pPr/>
      <w:r>
        <w:rPr>
          <w:vertAlign w:val="superscript"/>
        </w:rPr>
        <w:t xml:space="preserve">er</w:t>
      </w:r>
    </w:p>
    <w:p>
      <w:pPr/>
      <w:r>
        <w:rPr/>
        <w:t xml:space="preserve"> septembre 2020 pour tenir compte de l'entrée en vigueur du décret modifiant la nomenclature et la procédure en matière de police de l'eau.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2025-07-29T05:12:06+00:00</dcterms:created>
  <dcterms:modified xsi:type="dcterms:W3CDTF">2025-07-29T05:12:06+00:00</dcterms:modified>
</cp:coreProperties>
</file>

<file path=docProps/custom.xml><?xml version="1.0" encoding="utf-8"?>
<Properties xmlns="http://schemas.openxmlformats.org/officeDocument/2006/custom-properties" xmlns:vt="http://schemas.openxmlformats.org/officeDocument/2006/docPropsVTypes"/>
</file>