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Ordonnance n° 2020-738 du 17 juin 2020 portant diverses mesures en matière de commande publique</w:t>
      </w:r>
    </w:p>
    <w:p>
      <w:pPr>
        <w:pStyle w:val="Heading2"/>
      </w:pPr>
      <w:r>
        <w:rPr/>
        <w:t xml:space="preserve">Revue - Marchés Publics</w:t>
      </w:r>
    </w:p>
    <w:p>
      <w:pPr>
        <w:pStyle w:val="Heading3"/>
      </w:pPr>
      <w:r>
        <w:rPr/>
        <w:t xml:space="preserve">Source - JO</w:t>
      </w:r>
    </w:p>
    <w:p/>
    <w:p>
      <w:pPr/>
      <w:r>
        <w:rPr/>
        <w:t xml:space="preserve"> L'article 1</w:t>
      </w:r>
    </w:p>
    <w:p>
      <w:pPr/>
      <w:r>
        <w:rPr>
          <w:vertAlign w:val="superscript"/>
        </w:rPr>
        <w:t xml:space="preserve">er</w:t>
      </w:r>
    </w:p>
    <w:p>
      <w:pPr/>
      <w:r>
        <w:rPr/>
        <w:t xml:space="preserve"> vise à faciliter l'accès aux marchés publics et aux contrats de concessions pour les entreprises admises à la procédure de redressement judiciaire. Les entreprises en redressement judiciaire qui bénéficient d'un plan de redressement sont autorisées à se porter candidates aux contrats de la commande publique. L'article 2 étend à tous les contrats globaux du code de la commande publique le dispositif en faveur des PME prévu pour les marchés de partenariat par l'article L 2222-4 du CCP. Il impose qu'au moins 10 % de l'exécution du marché soient confiés à des PME ou des artisans et que la part que l'entreprise s'engage à confier à des PME ou à des artisans constitue un critère obligatoire d'attribution du contrat. Enfin, l'article 3 impose aux acheteurs publics de ne pas tenir compte, dans l'appréciation de la capacité économique et financière des candidats aux marchés publics ou contrats de concessions, de la baisse du chiffre d'affaires intervenue au titre du ou des exercices sur lesquels s'imputent les conséquences de la crise sanitaire liée à l'épidémie de covid-19. Ces mesures sont applicables pendant une période d'un an suivant la fin de l'état d'urgence sanitaire, soit jusqu'au 10 juillet 2021, à l'exception des dispositions de l'article 3 qui s'appliquent jusqu'au 31 décembre 2023.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2025-07-29T04:59:23+00:00</dcterms:created>
  <dcterms:modified xsi:type="dcterms:W3CDTF">2025-07-29T04:59:23+00:00</dcterms:modified>
</cp:coreProperties>
</file>

<file path=docProps/custom.xml><?xml version="1.0" encoding="utf-8"?>
<Properties xmlns="http://schemas.openxmlformats.org/officeDocument/2006/custom-properties" xmlns:vt="http://schemas.openxmlformats.org/officeDocument/2006/docPropsVTypes"/>
</file>