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Second tour des élections municipales. Adaptation du droit électoral</w:t>
      </w:r>
    </w:p>
    <w:p>
      <w:pPr>
        <w:pStyle w:val="Heading2"/>
      </w:pPr>
      <w:r>
        <w:rPr/>
        <w:t xml:space="preserve">Revue - Vie Communale</w:t>
      </w:r>
    </w:p>
    <w:p>
      <w:pPr>
        <w:pStyle w:val="Heading3"/>
      </w:pPr>
      <w:r>
        <w:rPr/>
        <w:t xml:space="preserve">Source - JO</w:t>
      </w:r>
    </w:p>
    <w:p/>
    <w:p>
      <w:pPr/>
      <w:r>
        <w:rPr/>
        <w:t xml:space="preserve"> Le décret n° 2020-742 du 17 juin 2020 adapte le droit électoral aux circonstances particulières entourant la tenue du second tour, qu'il s'agisse de son report ou des précautions sanitaires qu'exige de prendre l'épidémie de covid-19. Tenant compte du fait que la campagne électorale pour le second tour doit être nécessairement adaptée, ce décret double le nombre de panneaux attribués à chaque candidat par emplacement d'affichage ainsi que le nombre d'affiches pouvant être remboursées. Il prévoit, pour les candidats souhaitant y avoir recours, la mise en ligne de leurs professions de foi. Il précise que les bulletins de vote qui mentionneraient la date du 22 mars sont valides. Il facilite le recueil des procurations en élargissant le champ des personnes auprès desquelles les délégués des officiers de police judiciaire peuvent se déplacer et en prévoyant, de manière pérenne, que le recueil peut avoir lieu dans des lieux accueillant du public. Afin d'éviter les contacts lors des opérations électorales, il neutralise également pour ce scrutin l'obligation d'estampiller la carte électorale après signature de la liste d'émargement. Le décret précise enfin les modalités de notification aux conseillers municipaux de la date et du lieu de la réunion au cours de laquelle les conseillers municipaux procèdent à la désignation de leurs délégués et de leurs suppléants afin qu'ils puissent anticiper au plus tôt cette échéance.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2025-07-28T01:07:56+00:00</dcterms:created>
  <dcterms:modified xsi:type="dcterms:W3CDTF">2025-07-28T01:07:56+00:00</dcterms:modified>
</cp:coreProperties>
</file>

<file path=docProps/custom.xml><?xml version="1.0" encoding="utf-8"?>
<Properties xmlns="http://schemas.openxmlformats.org/officeDocument/2006/custom-properties" xmlns:vt="http://schemas.openxmlformats.org/officeDocument/2006/docPropsVTypes"/>
</file>