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Prorogation de l’état d’urgence sanitaire. Nouvelles mesures de police. Circulaire n° JUSD2011873C du 14 mai 2020</w:t>
      </w:r>
    </w:p>
    <w:p>
      <w:pPr>
        <w:pStyle w:val="Heading2"/>
      </w:pPr>
      <w:r>
        <w:rPr/>
        <w:t xml:space="preserve">Revue - Pouvoirs de police et sécurité</w:t>
      </w:r>
    </w:p>
    <w:p>
      <w:pPr>
        <w:pStyle w:val="Heading3"/>
      </w:pPr>
      <w:r>
        <w:rPr/>
        <w:t xml:space="preserve">Source - Circulaire</w:t>
      </w:r>
    </w:p>
    <w:p/>
    <w:p>
      <w:pPr/>
      <w:r>
        <w:rPr/>
        <w:t xml:space="preserve"> La circulaire n° JUSD2011873C du 14 mai 2020 présente les nouvelles mesures de police en vigueur à compter du 11 mai 2020, ainsi que les sanctions qui leur sont applicables. Elle présente également l’extension du pouvoir de constatation de ces infractions à certaines catégories d’agents. Elle précise la liste des qualifications et codes NATINFS relatifs aux infractions liées à l’état d’urgence sanitaire.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2025-07-27T12:43:30+00:00</dcterms:created>
  <dcterms:modified xsi:type="dcterms:W3CDTF">2025-07-27T12:43:30+00:00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