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Première réunion du conseil municipal. Ordre du jour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Aucune disposition du code général des collectivités territoriales n'interdit que d'autres points soient inscrits à l'ordre du jour de la séance au cours de laquelle le conseil municipal procède à l'élection du maire et des adjoints. Dès lors, d'autres sujets peuvent être inscrits à l'ordre du jour de cette séance, sous réserve de leur mention dans les convocations adressées préalablement aux conseillers municipaux. Toutefois, à compter de son élection, le maire nouvellement élu peut modifier l'ordre du jour établi par le maire sortant ou son suppléant et ainsi décider qu'un point inscrit à l'ordre du jour sera examiné à une séance ultérieure ou bien décider qu'il n'a pas lieu d'être mis en discussion (</w:t>
      </w:r>
    </w:p>
    <w:p>
      <w:pPr/>
      <w:r>
        <w:rPr>
          <w:i w:val="1"/>
          <w:iCs w:val="1"/>
        </w:rPr>
        <w:t xml:space="preserve">JO</w:t>
      </w:r>
    </w:p>
    <w:p>
      <w:pPr/>
      <w:r>
        <w:rPr/>
        <w:t xml:space="preserve"> Sénat, 21.05.2020, question n° 14790, p. 2342).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2025-07-28T01:09:40+00:00</dcterms:created>
  <dcterms:modified xsi:type="dcterms:W3CDTF">2025-07-28T01:09:40+00:00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