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Retrait d’une commune d’un EPCI. Refus de l’EPCI. Modification du périmètre géographique. Référé-suspension. Urgence (non)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Lorsqu'un arrêté préfectoral a pour objet de modifier la répartition des compétences entre une collectivité territoriale et un groupement de collectivités territoriales ou entre deux groupements de collectivités territoriales, la condition d'urgence à laquelle est subordonné le prononcé d'une mesure de suspension en application de l'article L 521-1 du code de justice administrative doit être regardée comme étant, en principe, remplie. Mais tel n'est pas le cas s'agissant de l'exécution d'un arrêté préfectoral, pris sur le fondement de l'article L 5214-26 du CGCT, autorisant une commune à se retirer d'une communauté de communes pour adhérer à un autre EPCI, lequel emporte seulement modification du périmètre géographique de la communauté de communes (CE, 7 février 2020, </w:t>
      </w:r>
    </w:p>
    <w:p>
      <w:pPr/>
      <w:r>
        <w:rPr>
          <w:i w:val="1"/>
          <w:iCs w:val="1"/>
        </w:rPr>
        <w:t xml:space="preserve">communauté de communes Cœur d'Ostrevent</w:t>
      </w:r>
    </w:p>
    <w:p>
      <w:pPr/>
      <w:r>
        <w:rPr/>
        <w:t xml:space="preserve">, n° 428919).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2025-07-29T01:11:43+00:00</dcterms:created>
  <dcterms:modified xsi:type="dcterms:W3CDTF">2025-07-29T01:11:43+00:00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