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Loi relative à la lutte contre le gaspillage et à l'économie circulaire. Mesures concernant les collectivités territoriales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La loi n° 2020-105 du 10 février 2020 est relative à la lutte contre le gaspillage et à l'économie circulaire.  </w:t>
      </w:r>
    </w:p>
    <w:p>
      <w:pPr/>
      <w:r>
        <w:rPr>
          <w:b w:val="1"/>
          <w:bCs w:val="1"/>
        </w:rPr>
        <w:t xml:space="preserve">Achats publics. </w:t>
      </w:r>
    </w:p>
    <w:p>
      <w:pPr/>
      <w:r>
        <w:rPr/>
        <w:t xml:space="preserve">Lors des travaux de démolition ou de réhabilitation, les maîtres d’ouvrage sont désormais tenus de réaliser un « diagnostic relatif à la gestion des produits, matériaux et déchets issus de ces travaux ». À partir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2021, les collectivités et leurs groupements devront veiller, lors de leurs achats, à « réduire la consommation de plastique à usage unique et la production de déchets ». À la même échéance, elles devront faire en sorte que « 20 % à 100 % » de leurs biens acquis chaque année soient issus « du réemploi ou de la réutilisation ou intègrent des matières recyclées » (</w:t>
      </w:r>
    </w:p>
    <w:p>
      <w:pPr/>
      <w:hyperlink r:id="rId7" w:history="1">
        <w:r>
          <w:rPr/>
          <w:t xml:space="preserve">art. 58</w:t>
        </w:r>
      </w:hyperlink>
    </w:p>
    <w:p>
      <w:pPr/>
      <w:r>
        <w:rPr/>
        <w:t xml:space="preserve">). Tous les pneumatiques qu’elles achètent doivent désormais être rechapés, « sauf si une première consultation s’est révélée infructueuse » (</w:t>
      </w:r>
    </w:p>
    <w:p>
      <w:pPr/>
      <w:hyperlink r:id="rId8" w:history="1">
        <w:r>
          <w:rPr/>
          <w:t xml:space="preserve">art. 60</w:t>
        </w:r>
      </w:hyperlink>
    </w:p>
    <w:p>
      <w:pPr/>
      <w:r>
        <w:rPr/>
        <w:t xml:space="preserve">). Les collectivités doivent aussi désormais permettre aux entreprises de l’économie sociale et solidaire « d’utiliser les déchetteries communales comme lieux de récupération ponctuelle et de retraitement d’objets en bon état ou réparables » (</w:t>
      </w:r>
    </w:p>
    <w:p>
      <w:pPr/>
      <w:hyperlink r:id="rId9" w:history="1">
        <w:r>
          <w:rPr/>
          <w:t xml:space="preserve">art. 57</w:t>
        </w:r>
      </w:hyperlink>
    </w:p>
    <w:p>
      <w:pPr/>
      <w:r>
        <w:rPr/>
        <w:t xml:space="preserve">). </w:t>
      </w:r>
    </w:p>
    <w:p>
      <w:pPr/>
      <w:r>
        <w:rPr>
          <w:b w:val="1"/>
          <w:bCs w:val="1"/>
        </w:rPr>
        <w:t xml:space="preserve">Dépôts sauvages. </w:t>
      </w:r>
    </w:p>
    <w:p>
      <w:pPr/>
      <w:r>
        <w:rPr/>
        <w:t xml:space="preserve">Les maires peuvent infliger aux contrevenants une amende pouvant aller jusqu’à 15 000 € puis faire procéder d’office à l’enlèvement des déchets « aux frais de la personne mise en demeure » dans un délai ramené à 10 jours. Une astreinte journalière de 1 500 € par jour au maximum peut toujours être prononcée mais le montant de l’astreinte comme celui de l’amende sera désormais recouvré par la commune ou l’EPCI compétent. </w:t>
      </w:r>
    </w:p>
    <w:p>
      <w:pPr/>
      <w:r>
        <w:rPr>
          <w:b w:val="1"/>
          <w:bCs w:val="1"/>
        </w:rPr>
        <w:t xml:space="preserve">Epaves de voitures.</w:t>
      </w:r>
    </w:p>
    <w:p>
      <w:pPr/>
      <w:r>
        <w:rPr/>
        <w:t xml:space="preserve"> Les maires peuvent désormais exiger des propriétaires, lorsque l’épave « peut constituer une atteinte à l’environnement, à la santé ou à la salubrité publique », qu’ils procèdent à son enlèvement. S’ils n’obtempèrent pas dans le délai prescrit (désormais porté à 10 jours minimum au lieu de 15), l’épave est considérée comme un déchet et le maire fait procéder à l’enlèvement (</w:t>
      </w:r>
    </w:p>
    <w:p>
      <w:pPr/>
      <w:hyperlink r:id="rId10" w:history="1">
        <w:r>
          <w:rPr/>
          <w:t xml:space="preserve">art. 93</w:t>
        </w:r>
      </w:hyperlink>
    </w:p>
    <w:p>
      <w:pPr/>
      <w:r>
        <w:rPr/>
        <w:t xml:space="preserve"> et s.). Des décrets d’application sont prévus.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eli/loi/2020/2/10/TREP1902395L/jo/article_58" TargetMode="External"/><Relationship Id="rId8" Type="http://schemas.openxmlformats.org/officeDocument/2006/relationships/hyperlink" Target="https://www.legifrance.gouv.fr/eli/loi/2020/2/10/TREP1902395L/jo/article_60" TargetMode="External"/><Relationship Id="rId9" Type="http://schemas.openxmlformats.org/officeDocument/2006/relationships/hyperlink" Target="https://www.legifrance.gouv.fr/eli/loi/2020/2/10/TREP1902395L/jo/article_57" TargetMode="External"/><Relationship Id="rId10" Type="http://schemas.openxmlformats.org/officeDocument/2006/relationships/hyperlink" Target="https://www.legifrance.gouv.fr/eli/loi/2020/2/10/TREP1902395L/jo/article_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2025-07-27T20:43:49+00:00</dcterms:created>
  <dcterms:modified xsi:type="dcterms:W3CDTF">2025-07-27T20:43:49+00:00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