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Commissions administratives paritaires. Règles et procédures pour l'édiction des lignes directrices de gestion et révision de leurs attributions</w:t>
      </w:r>
    </w:p>
    <w:p>
      <w:pPr>
        <w:pStyle w:val="Heading2"/>
      </w:pPr>
      <w:r>
        <w:rPr/>
        <w:t xml:space="preserve">Revue - Fonction Publique Territoriale</w:t>
      </w:r>
    </w:p>
    <w:p>
      <w:pPr>
        <w:pStyle w:val="Heading3"/>
      </w:pPr>
      <w:r>
        <w:rPr/>
        <w:t xml:space="preserve">Source - JO</w:t>
      </w:r>
    </w:p>
    <w:p/>
    <w:p>
      <w:pPr/>
      <w:r>
        <w:rPr/>
        <w:t xml:space="preserve"> Les commissions administratives paritaires ne sont plus compétentes pour examiner les décisions individuelles en matière de mobilité applicables à compter du 1</w:t>
      </w:r>
    </w:p>
    <w:p>
      <w:pPr/>
      <w:r>
        <w:rPr>
          <w:vertAlign w:val="superscript"/>
        </w:rPr>
        <w:t xml:space="preserve">er</w:t>
      </w:r>
    </w:p>
    <w:p>
      <w:pPr/>
      <w:r>
        <w:rPr/>
        <w:t xml:space="preserve"> janvier 2020, ainsi que pour les décisions individuelles en matière de promotion applicables à partir du 1</w:t>
      </w:r>
    </w:p>
    <w:p>
      <w:pPr/>
      <w:r>
        <w:rPr>
          <w:vertAlign w:val="superscript"/>
        </w:rPr>
        <w:t xml:space="preserve">er</w:t>
      </w:r>
    </w:p>
    <w:p>
      <w:pPr/>
      <w:r>
        <w:rPr/>
        <w:t xml:space="preserve"> janvier 2021. Les autres évolutions des attributions des commissions administratives paritaires entrent en vigueur pour les décisions individuelles applicables à compter du 1</w:t>
      </w:r>
    </w:p>
    <w:p>
      <w:pPr/>
      <w:r>
        <w:rPr>
          <w:vertAlign w:val="superscript"/>
        </w:rPr>
        <w:t xml:space="preserve">er</w:t>
      </w:r>
    </w:p>
    <w:p>
      <w:pPr/>
      <w:r>
        <w:rPr/>
        <w:t xml:space="preserve"> janvier 2021. S'agissant des lignes directrices de gestion, le titre I</w:t>
      </w:r>
    </w:p>
    <w:p>
      <w:pPr/>
      <w:r>
        <w:rPr>
          <w:vertAlign w:val="superscript"/>
        </w:rPr>
        <w:t xml:space="preserve">er</w:t>
      </w:r>
    </w:p>
    <w:p>
      <w:pPr/>
      <w:r>
        <w:rPr/>
        <w:t xml:space="preserve"> du décret entre en vigueur au lendemain de sa publication, à l'exception des articles concernant les lignes directrices de gestion relatives à la promotion et à l'avancement, qui s'appliquent pour les décisions individuelles de promotion prenant effet à compter du 1</w:t>
      </w:r>
    </w:p>
    <w:p>
      <w:pPr/>
      <w:r>
        <w:rPr>
          <w:vertAlign w:val="superscript"/>
        </w:rPr>
        <w:t xml:space="preserve">er</w:t>
      </w:r>
    </w:p>
    <w:p>
      <w:pPr/>
      <w:r>
        <w:rPr/>
        <w:t xml:space="preserve"> janvier 2021. Le décret n° 2019-1265 du 29 novembre 2019 précise les conditions dans lesquelles, dans la fonction publique, l'autorité compétente peut édicter des lignes directrices de gestion définissant la stratégie pluriannuelle de pilotage des ressources humaines, les orientations générales en matière de promotion et de valorisation des parcours professionnels et, pour la fonction publique de l'Etat, les orientations générales en matière de mobilité. Le décret supprime la référence à la consultation des commissions administratives paritaires en matière de mobilité, de promotion et d'avancement au sein des textes réglementaires applicables. Il précise les conditions dans lesquelles les agents peuvent faire appel à un représentant syndical dans le cadre d'un recours administratif formé contre les décisions individuelles en matière de mobilité, de promotion et d'avancement.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2025-07-27T13:34:22+00:00</dcterms:created>
  <dcterms:modified xsi:type="dcterms:W3CDTF">2025-07-27T13:34:22+00:00</dcterms:modified>
</cp:coreProperties>
</file>

<file path=docProps/custom.xml><?xml version="1.0" encoding="utf-8"?>
<Properties xmlns="http://schemas.openxmlformats.org/officeDocument/2006/custom-properties" xmlns:vt="http://schemas.openxmlformats.org/officeDocument/2006/docPropsVTypes"/>
</file>