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nom de famille. Motif d’ordre affectif. Intérêt légitime (oui en l'espèce)</w:t>
      </w:r>
    </w:p>
    <w:p>
      <w:pPr>
        <w:pStyle w:val="Heading2"/>
      </w:pPr>
      <w:r>
        <w:rPr/>
        <w:t xml:space="preserve">Revue - Etat Civil</w:t>
      </w:r>
    </w:p>
    <w:p>
      <w:pPr>
        <w:pStyle w:val="Heading3"/>
      </w:pPr>
      <w:r>
        <w:rPr/>
        <w:t xml:space="preserve">Source - Jurisprudence</w:t>
      </w:r>
    </w:p>
    <w:p/>
    <w:p>
      <w:pPr/>
      <w:r>
        <w:rPr>
          <w:b w:val="1"/>
          <w:bCs w:val="1"/>
          <w:i w:val="1"/>
          <w:iCs w:val="1"/>
        </w:rPr>
        <w:t xml:space="preserve">Des motifs d'ordre affectif peuvent, dans des circonstances exceptionnelles, caractériser l'intérêt légitime requis par l'article 61 du code civil pour déroger aux principes de dévolution et de fixité du nom.</w:t>
      </w:r>
    </w:p>
    <w:p>
      <w:pPr/>
      <w:r>
        <w:rPr/>
        <w:t xml:space="preserve"> Les requérants avaient décidé, avant la naissance de leur fils, que celui-ci se voie octroyer leurs deux noms accolés. A la suite d'un accouchement difficile, le père a déclaré l'enfant en lui attribuant son seul nom parce que l'officier d'état civil auprès duquel la déclaration de naissance a été effectuée l'avait fortement dissuadé d'opérer un tel choix, au regard notamment des importants « tracas administratifs » ultérieurs que celui-ci pourrait occasionner pour l'enfant. Les parents ont présenté une demande tendant au changement du nom de leur enfant environ un an et demi après la naissance, alors que les complications consécutives à l'accouchement avaient perduré durant plus d'un an et conduit la mère à subir plusieurs interventions pendant cette période. De telles circonstances doivent être regardées comme exceptionnelles et caractérisent, eu égard au motif invoqué, un intérêt légitime au sens de l'article 61 du code civil justifiant le changement du nom de l'enfant afin de lui attribuer les noms de famille accolés de ses deux parents (CE, 16 octobre 2019, </w:t>
      </w:r>
    </w:p>
    <w:p>
      <w:pPr/>
      <w:r>
        <w:rPr>
          <w:i w:val="1"/>
          <w:iCs w:val="1"/>
        </w:rPr>
        <w:t xml:space="preserve">Mme C. et M. D.</w:t>
      </w:r>
    </w:p>
    <w:p>
      <w:pPr/>
      <w:r>
        <w:rPr/>
        <w:t xml:space="preserve">, n° 421616). Cet arrêt est une confirmation de la jurisprudence (CE, 31 janvier 2014, </w:t>
      </w:r>
    </w:p>
    <w:p>
      <w:pPr/>
      <w:hyperlink r:id="rId7" w:history="1">
        <w:r>
          <w:rPr>
            <w:i w:val="1"/>
            <w:iCs w:val="1"/>
          </w:rPr>
          <w:t xml:space="preserve">M. C.</w:t>
        </w:r>
      </w:hyperlink>
    </w:p>
    <w:p>
      <w:pPr/>
      <w:r>
        <w:rPr/>
        <w:t xml:space="preserve">, n° 362444).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28567535&amp;fastReqId=225163446&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2025-07-27T11:56:53+00:00</dcterms:created>
  <dcterms:modified xsi:type="dcterms:W3CDTF">2025-07-27T11:56:53+00:00</dcterms:modified>
</cp:coreProperties>
</file>

<file path=docProps/custom.xml><?xml version="1.0" encoding="utf-8"?>
<Properties xmlns="http://schemas.openxmlformats.org/officeDocument/2006/custom-properties" xmlns:vt="http://schemas.openxmlformats.org/officeDocument/2006/docPropsVTypes"/>
</file>