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Dématérialisation. Exigence d'une signature électronique</w:t>
      </w:r>
    </w:p>
    <w:p>
      <w:pPr>
        <w:pStyle w:val="Heading2"/>
      </w:pPr>
      <w:r>
        <w:rPr/>
        <w:t xml:space="preserve">Revue - Marchés Publics</w:t>
      </w:r>
    </w:p>
    <w:p>
      <w:pPr>
        <w:pStyle w:val="Heading3"/>
      </w:pPr>
      <w:r>
        <w:rPr/>
        <w:t xml:space="preserve">Source - JO AN - JO Sénat</w:t>
      </w:r>
    </w:p>
    <w:p/>
    <w:p>
      <w:pPr/>
      <w:r>
        <w:rPr/>
        <w:t xml:space="preserve"> La dématérialisation obligatoire de la passation des marchés publics supérieurs à 25 000 € HT est en vigueur depuis le 1</w:t>
      </w:r>
    </w:p>
    <w:p>
      <w:pPr/>
      <w:r>
        <w:rPr>
          <w:vertAlign w:val="superscript"/>
        </w:rPr>
        <w:t xml:space="preserve">er</w:t>
      </w:r>
    </w:p>
    <w:p>
      <w:pPr/>
      <w:r>
        <w:rPr/>
        <w:t xml:space="preserve"> octobre 2018.  </w:t>
      </w:r>
    </w:p>
    <w:p>
      <w:pPr/>
      <w:r>
        <w:rPr/>
        <w:t xml:space="preserve">Depuis le 1</w:t>
      </w:r>
    </w:p>
    <w:p>
      <w:pPr/>
      <w:r>
        <w:rPr>
          <w:vertAlign w:val="superscript"/>
        </w:rPr>
        <w:t xml:space="preserve">er</w:t>
      </w:r>
    </w:p>
    <w:p>
      <w:pPr/>
      <w:r>
        <w:rPr/>
        <w:t xml:space="preserve"> avril 2016, il n'est plus obligatoire de signer la candidature et l'offre au moment du dépôt initial. Aucun texte n'oblige en effet les soumissionnaires à signer au stade de la remise de l'offre. Le principe concernant la signature reste, pour la commande publique, celui d'une obligation uniquement au stade de l'attribution, en vertu de l'article R 2182-3 du code de la commande publique applicable depuis le 1</w:t>
      </w:r>
    </w:p>
    <w:p>
      <w:pPr/>
      <w:r>
        <w:rPr>
          <w:vertAlign w:val="superscript"/>
        </w:rPr>
        <w:t xml:space="preserve">er </w:t>
      </w:r>
    </w:p>
    <w:p>
      <w:pPr/>
      <w:r>
        <w:rPr/>
        <w:t xml:space="preserve">avril 2019. En revanche, il est possible à l'acheteur de rendre, via son règlement de la consultation, la signature obligatoire pour tous les soumissionnaires au moment de la remise de leur offre ou de leur candidature. Néanmoins, un tel formalisme alourdit la charge administrative et n'est donc pas conseillé. S'agissant des difficultés d'acquisition des certificats de signature électronique, outre le temps de constitution de dossier, il faut compter entre quelques jours et 3 semaines entre la délivrance et la réception du certificat. Ces délais impliquent une anticipation de la part de la structure. Les acheteurs doivent également veiller à laisser un délai suffisant pour les entreprises qui n'auraient pas préalablement acquis un certificat pour le faire à l'occasion de l'attribution du contrat (</w:t>
      </w:r>
    </w:p>
    <w:p>
      <w:pPr/>
      <w:r>
        <w:rPr>
          <w:i w:val="1"/>
          <w:iCs w:val="1"/>
        </w:rPr>
        <w:t xml:space="preserve">JO</w:t>
      </w:r>
    </w:p>
    <w:p>
      <w:pPr/>
      <w:r>
        <w:rPr/>
        <w:t xml:space="preserve"> AN, 15.10.2019, question n° 19737, p. 8856).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2025-07-27T11:50:22+00:00</dcterms:created>
  <dcterms:modified xsi:type="dcterms:W3CDTF">2025-07-27T11:50:22+00:00</dcterms:modified>
</cp:coreProperties>
</file>

<file path=docProps/custom.xml><?xml version="1.0" encoding="utf-8"?>
<Properties xmlns="http://schemas.openxmlformats.org/officeDocument/2006/custom-properties" xmlns:vt="http://schemas.openxmlformats.org/officeDocument/2006/docPropsVTypes"/>
</file>