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Dotation de compensation des EPCI. Exercice 2019. Note technique n° TERB1915588N</w:t>
      </w:r>
    </w:p>
    <w:p>
      <w:pPr>
        <w:pStyle w:val="Heading2"/>
      </w:pPr>
      <w:r>
        <w:rPr/>
        <w:t xml:space="preserve">Revue - Intercommunalité</w:t>
      </w:r>
    </w:p>
    <w:p>
      <w:pPr>
        <w:pStyle w:val="Heading3"/>
      </w:pPr>
      <w:r>
        <w:rPr/>
        <w:t xml:space="preserve">Source - Circulaire</w:t>
      </w:r>
    </w:p>
    <w:p/>
    <w:p>
      <w:pPr/>
      <w:r>
        <w:rPr/>
        <w:t xml:space="preserve"> La note technique n° TERB1915588N du 20 mai 2019 décrit les modalités de répartition de la dotation de compensation des EPCI pour l’année 2019.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2025-07-29T05:16:30+00:00</dcterms:created>
  <dcterms:modified xsi:type="dcterms:W3CDTF">2025-07-29T05:16:30+00:00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