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Priorités pour l'école primaire. Circulaire de rentrée 2019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circulaire de rentrée du 28 mai 2019 (note de service n° MENE1915810C)</w:t>
      </w:r>
    </w:p>
    <w:p>
      <w:pPr/>
      <w:r>
        <w:rPr>
          <w:i w:val="1"/>
          <w:iCs w:val="1"/>
        </w:rPr>
        <w:t xml:space="preserve"> </w:t>
      </w:r>
    </w:p>
    <w:p>
      <w:pPr/>
      <w:r>
        <w:rPr/>
        <w:t xml:space="preserve">porte spécifiquement sur le premier degré. Elle détaille les priorités pour l'année scolaire 2019-2020. Parmi ces priorités, certaines concernent directement les communes, dont notamment l'abaissement de l'âge de l'instruction obligatoire à 3 ans. La circulaire précise que des aménagements d'emploi du temps peuvent être autorisés quand les plus jeunes enfants ont encore besoin de dormir l'après-midi. Lorsque la situation démographique conduit à la proposition d'une fermeture d'école, l'accord préalable du maire sera désormais nécessaire.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2025-07-27T20:46:02+00:00</dcterms:created>
  <dcterms:modified xsi:type="dcterms:W3CDTF">2025-07-27T20:46:02+00:00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