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Pouvoirs de police du maire. Abattage d'un arbre situé sur une propriété privée. Conditions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JO AN - JO Sénat</w:t>
      </w:r>
    </w:p>
    <w:p/>
    <w:p>
      <w:pPr/>
      <w:r>
        <w:rPr/>
        <w:t xml:space="preserve"> Aux termes des articles L 2212-1 et L 2212-2 du CGCT, le maire est chargé de la police municipale qui a pour objet d'assurer le bon ordre, la sûreté, la sécurité et la salubrité publiques. En outre, en cas de danger grave ou imminent, les dispositions de l'article L 2212-4 du même code autorisent le maire à ordonner l'exécution de travaux sur une propriété privée en les faisant réaliser par la commune. Ainsi, il appartient au maire d'apprécier, en fonction des circonstances locales et des informations portées à sa connaissance, si l'imminence ou la gravité du danger pour la sécurité publique rendent nécessaire son intervention d'office sur une propriété privée (</w:t>
      </w:r>
    </w:p>
    <w:p>
      <w:pPr/>
      <w:r>
        <w:rPr>
          <w:i w:val="1"/>
          <w:iCs w:val="1"/>
        </w:rPr>
        <w:t xml:space="preserve">JO </w:t>
      </w:r>
    </w:p>
    <w:p>
      <w:pPr/>
      <w:r>
        <w:rPr/>
        <w:t xml:space="preserve">Sénat, 23.05.2019, question n° 09686, p. 2750).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2025-07-27T20:41:37+00:00</dcterms:created>
  <dcterms:modified xsi:type="dcterms:W3CDTF">2025-07-27T20:41:37+00:00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