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Policiers municipaux. Exercice en civil (non)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Le second alinéa de l'article L 511-4 du code de la sécurité intérieure dispose que « le port de la carte professionnelle et celui de la tenue sont obligatoires pendant le service ». À cet égard, la jurisprudence a été amenée à préciser que constitue un ordre manifestement illégal et de nature à compromettre gravement un intérêt public, au sens des dispositions de l'article 28 de la loi n° 83-634 du 13 juillet 1983 portant droits et obligations des fonctionnaires, le fait de demander à un agent de police municipale de travailler en civil à l'occasion des fêtes locales (CAA Bordeaux, 27 mars 2012, </w:t>
      </w:r>
    </w:p>
    <w:p>
      <w:pPr/>
      <w:hyperlink r:id="rId7" w:history="1">
        <w:r>
          <w:rPr/>
          <w:t xml:space="preserve">commune de Biarritz</w:t>
        </w:r>
      </w:hyperlink>
    </w:p>
    <w:p>
      <w:pPr/>
      <w:r>
        <w:rPr/>
        <w:t xml:space="preserve">, n° 11BX01153)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21.03.2019, question n° 07665, p. 1563).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JuriAdmin.do?oldAction=rechJuriAdmin&amp;idTexte=CETATEXT000025597872&amp;fastReqId=1787889414&amp;fast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2025-07-29T06:27:03+00:00</dcterms:created>
  <dcterms:modified xsi:type="dcterms:W3CDTF">2025-07-29T06:27:03+00:00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