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Ordures déposées sur une route hors agglomération. Enlèvement. Prise en charge par le président du conseil départemental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</w:t>
      </w:r>
    </w:p>
    <w:p/>
    <w:p>
      <w:pPr/>
      <w:r>
        <w:rPr/>
        <w:t xml:space="preserve"> Il incombe au président du conseil départemental de prendre en charge l'enlèvement des dépôts effectués sur l'emprise d'une route départementale située hors agglomération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18.04.2019, question n° 09260, p. 2121).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2025-07-27T19:49:51+00:00</dcterms:created>
  <dcterms:modified xsi:type="dcterms:W3CDTF">2025-07-27T19:49:51+00:00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