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Majoration du taux de la taxe d'aménagement. Durée de validité de la délibération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Il résulte de l'article L 331-14 du code de l'urbanisme que le taux de 1 % prévu au dernier alinéa de cet article ne s'applique qu'en l'absence de toute délibération communale fixant le taux de la taxe d'aménagement. En revanche, dès lors que le conseil municipal a fait usage de la possibilité qui lui est offerte par le deuxième alinéa du même article et qu'il a fixé un taux supérieur à 1 %, sa délibération, en l'absence de nouvelle délibération adoptée dans les conditions prévues au premier alinéa, est reconduite de plein droit chaque année (CE, 24 avril 2019, </w:t>
      </w:r>
    </w:p>
    <w:p>
      <w:pPr/>
      <w:r>
        <w:rPr>
          <w:i w:val="1"/>
          <w:iCs w:val="1"/>
        </w:rPr>
        <w:t xml:space="preserve">M. A.</w:t>
      </w:r>
    </w:p>
    <w:p>
      <w:pPr/>
      <w:r>
        <w:rPr/>
        <w:t xml:space="preserve">, n° 417980).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2025-07-29T06:05:47+00:00</dcterms:created>
  <dcterms:modified xsi:type="dcterms:W3CDTF">2025-07-29T06:05:47+00:00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