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Information des membres du conseil communautaire. Notion de document nécessaire</w:t>
      </w:r>
    </w:p>
    <w:p>
      <w:pPr>
        <w:pStyle w:val="Heading2"/>
      </w:pPr>
      <w:r>
        <w:rPr/>
        <w:t xml:space="preserve">Revue - Intercommunalité</w:t>
      </w:r>
    </w:p>
    <w:p>
      <w:pPr>
        <w:pStyle w:val="Heading3"/>
      </w:pPr>
      <w:r>
        <w:rPr/>
        <w:t xml:space="preserve">Source - Jurisprudence</w:t>
      </w:r>
    </w:p>
    <w:p/>
    <w:p>
      <w:pPr/>
      <w:r>
        <w:rPr>
          <w:b w:val="1"/>
          <w:bCs w:val="1"/>
          <w:i w:val="1"/>
          <w:iCs w:val="1"/>
        </w:rPr>
        <w:t xml:space="preserve">Tout membre du conseil municipal a le droit, dans le cadre de sa fonction, d'être informé des affaires de la commune qui font l'objet d'une délibération (art. L 2121-13 du CGCT). Mais la demande du conseiller doit porter sur un document relatif à une délibération à venir.</w:t>
      </w:r>
    </w:p>
    <w:p>
      <w:pPr/>
      <w:r>
        <w:rPr/>
        <w:t xml:space="preserve"> En application de l'article L 2121-13 du CGCT (NDLR : applicable aux EPCI en vertu de l’article L 5211-1), le maire est tenu de communiquer aux membres du conseil municipal les documents nécessaires pour qu'ils puissent se prononcer utilement sur les affaires de la commune soumises à leur délibération. Lorsqu'un membre du conseil municipal demande, sur le fondement de ces dispositions du CGCT, la communication de documents, il appartient au maire, sous le contrôle du juge de l'excès de pouvoir, d'une part, d'apprécier si cette communication se rattache à une affaire de la commune qui fait l'objet d'une délibération du conseil municipal et, d'autre part, de s'assurer qu'aucun motif d'intérêt général n'y fait obstacle avant de procéder, le cas échéant, à cette communication selon des modalités appropriées. Dès lors qu'il appartient au maire, sous réserve des délégations qu'il lui est loisible d'accorder, d'apprécier s'il y a lieu de procéder à la communication de documents demandés sur le fondement des dispositions précédemment citées, de telles demandes de communication doivent en principe lui être adressées, sauf à ce qu'il ait arrêté des modalités différentes pour la présentation de telles demandes. Toutefois, une demande adressée au directeur général des services (DGS) ne saurait être rejetée comme mal dirigée, dans la mesure où il revient, en tout état de cause, au DGS de la transmettre au maire pour qu'il puisse apprécier s'il y a lieu d'y donner suite. En se bornant à constater, pour faire droit à la demande de communication, que les documents en cause étaient directement liés à des délibérations, sans rechercher, alors que les délibérations invoquées étaient antérieures à la date de la demande de communication, si les documents demandés pouvaient être regardés comme étant nécessaires pour que l'élu requérant puisse se prononcer utilement sur les affaires en cours de la collectivité, susceptibles de faire l'objet de délibérations à venir au cours desquelles les élus auraient à se prononcer sur les projets en cause, le tribunal commet une erreur de droit (CE, 5 avril 2019, </w:t>
      </w:r>
    </w:p>
    <w:p>
      <w:pPr/>
      <w:r>
        <w:rPr>
          <w:i w:val="1"/>
          <w:iCs w:val="1"/>
        </w:rPr>
        <w:t xml:space="preserve">communauté intercommunale des villes solidaires</w:t>
      </w:r>
    </w:p>
    <w:p>
      <w:pPr/>
      <w:r>
        <w:rPr/>
        <w:t xml:space="preserve">, n° 416542).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2025-07-29T05:18:57+00:00</dcterms:created>
  <dcterms:modified xsi:type="dcterms:W3CDTF">2025-07-29T05:18:57+00:00</dcterms:modified>
</cp:coreProperties>
</file>

<file path=docProps/custom.xml><?xml version="1.0" encoding="utf-8"?>
<Properties xmlns="http://schemas.openxmlformats.org/officeDocument/2006/custom-properties" xmlns:vt="http://schemas.openxmlformats.org/officeDocument/2006/docPropsVTypes"/>
</file>