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Stationnement interdit. Verbalisation unique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>
          <w:b w:val="1"/>
          <w:bCs w:val="1"/>
          <w:i w:val="1"/>
          <w:iCs w:val="1"/>
        </w:rPr>
        <w:t xml:space="preserve">Un même stationnement interdit, quelle qu’en soit la durée, ne peut donner lieu qu'à une seule poursuite.</w:t>
      </w:r>
    </w:p>
    <w:p>
      <w:pPr/>
      <w:r>
        <w:rPr/>
        <w:t xml:space="preserve"> Le propriétaire d’un véhicule a été verbalisé à trois reprises pour un même stationnement gênant. La Cour de cassation rappelle que « le stationnement interdit constitue une contravention instantanée, qui ne cesse que par l'enlèvement volontaire ou forcé du véhicule et qui ne peut donner lieu qu'à une seule poursuite » (Cass. crim., 5 mars 2019, n° 18-83640).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2025-07-29T06:10:38+00:00</dcterms:created>
  <dcterms:modified xsi:type="dcterms:W3CDTF">2025-07-29T06:10:38+00:00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