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Cimetière. Fermeture définitive. Inhumations dans les caveaux de famille (oui sous conditions)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Lorsqu'une commune a décidé la fermeture d'un cimetière, cette décision fait obstacle à l'octroi de toute nouvelle concession et à toute nouvelle inhumation en terrain commun mais n'interdit pas, tant que l'affectation du sol à un autre usage n'a pas été reconnue d'utilité publique, la poursuite des inhumations en terrain concédé dans les caveaux de famille, si ceux-ci satisfont aux prescriptions légales d'hygiène et de salubrité et à concurrence du nombre de places encore disponibles dans ces caveaux à la date de la décision de fermeture. Si ces conditions sont remplies, le maire est tenu de faire droit à une telle demande d'inhumation (CAA Nantes, 8 février 2019, </w:t>
      </w:r>
    </w:p>
    <w:p>
      <w:pPr/>
      <w:r>
        <w:rPr>
          <w:i w:val="1"/>
          <w:iCs w:val="1"/>
        </w:rPr>
        <w:t xml:space="preserve">commune de Roscoff</w:t>
      </w:r>
    </w:p>
    <w:p>
      <w:pPr/>
      <w:r>
        <w:rPr/>
        <w:t xml:space="preserve">, n° 18NT03999).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2025-07-27T12:39:18+00:00</dcterms:created>
  <dcterms:modified xsi:type="dcterms:W3CDTF">2025-07-27T12:39:18+00:00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