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Maîtrise d'oeuvre. Avant-projet définitif. Dépassement excessif de l'enveloppe prévisionnelle (+ 36 %). Résiliation pour motif d'intérêt général (oui)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dépassement excessif du budget prévisionnel par le maître d'œuvre dans l'avant-projet définitif est susceptible de fonder la résiliation d'un marché (art. 33 du cahier des clauses administratives générales applicables aux marchés publics de prestations intellectuelles, relatif à la résiliation pour motif d'intérêt général). En l'espèce, l'estimation figurant dans l'avant-projet définitif établi par la société était supérieur de 36 % au montant admis par le maître d'ouvrage. La résiliation en litige a pu être valablement fondée sur un motif tiré du dépassement excessif de l'enveloppe prévisionnelle déjà réévaluée (CAA Bordeaux, 14 décembre 2018,</w:t>
      </w:r>
    </w:p>
    <w:p>
      <w:pPr/>
      <w:r>
        <w:rPr>
          <w:i w:val="1"/>
          <w:iCs w:val="1"/>
        </w:rPr>
        <w:t xml:space="preserve"> société Groupe BETC</w:t>
      </w:r>
    </w:p>
    <w:p>
      <w:pPr/>
      <w:r>
        <w:rPr/>
        <w:t xml:space="preserve">, n° 16BX01224).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2025-07-29T05:03:13+00:00</dcterms:created>
  <dcterms:modified xsi:type="dcterms:W3CDTF">2025-07-29T05:03:13+00:00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