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Propriété privée non entretenue. Pouvoirs du maire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 AN - JO Sénat</w:t>
      </w:r>
    </w:p>
    <w:p/>
    <w:p>
      <w:pPr/>
      <w:r>
        <w:rPr>
          <w:b w:val="1"/>
          <w:bCs w:val="1"/>
        </w:rPr>
        <w:t xml:space="preserve">1.</w:t>
      </w:r>
    </w:p>
    <w:p>
      <w:pPr/>
      <w:r>
        <w:rPr/>
        <w:t xml:space="preserve"> L'article L 2213-25 du CGCT permet au maire, pour des motifs environnementaux, d'imposer à un propriétaire privé de remettre en état un terrain non bâti situé à l'intérieur d'une zone d'habitation. Sur le fondement de ces dispositions, la jurisprudence a par exemple admis qu'un maire puisse imposer le nettoyage du jardin d'une propriété envahi par une végétation abondante sur lequel des engins de chantier détériorés avaient été abandonnés à la suite de l'arrêt des travaux de rénovation d'un immeuble ancien implanté sur l'une des parcelles (CAA Nancy, 17 janvier 2008, </w:t>
      </w:r>
    </w:p>
    <w:p>
      <w:pPr/>
      <w:hyperlink r:id="rId7" w:history="1">
        <w:r>
          <w:rPr>
            <w:i w:val="1"/>
            <w:iCs w:val="1"/>
          </w:rPr>
          <w:t xml:space="preserve">SCI Breton d'Amblans</w:t>
        </w:r>
      </w:hyperlink>
    </w:p>
    <w:p>
      <w:pPr/>
      <w:r>
        <w:rPr/>
        <w:t xml:space="preserve">, n° 06NC01005). Il peut en être déduit que la présence d'un immeuble sur une parcelle ne fait pas obstacle à l'intervention du maire sur la partie de terrain non bâtie de cette parcelle. </w:t>
      </w:r>
    </w:p>
    <w:p>
      <w:pPr/>
      <w:r>
        <w:rPr>
          <w:b w:val="1"/>
          <w:bCs w:val="1"/>
        </w:rPr>
        <w:t xml:space="preserve">2.</w:t>
      </w:r>
    </w:p>
    <w:p>
      <w:pPr/>
      <w:r>
        <w:rPr/>
        <w:t xml:space="preserve"> Par ailleurs, sur le fondement des dispositions des articles L 2243-1 et suivants du CGCT, le maire peut constater, par procès-verbal, l'abandon manifeste d'une parcelle lorsque des immeubles, parties d'immeubles, voies privées assorties d'une servitude de passage public, installations et terrains sans occupant à titre habituel ne sont manifestement plus entretenus. Ce procès-verbal, qui est notifié au propriétaire de la parcelle, indique la nature des désordres affectant le bien auxquels il convient de remédier pour faire cesser l'état d'abandon manifeste. À défaut de réalisation des travaux par le propriétaire, la commune pourra engager une procédure simplifiée d'expropriation pour cause d'utilité publique. </w:t>
      </w:r>
    </w:p>
    <w:p>
      <w:pPr/>
      <w:r>
        <w:rPr>
          <w:b w:val="1"/>
          <w:bCs w:val="1"/>
        </w:rPr>
        <w:t xml:space="preserve">3. </w:t>
      </w:r>
    </w:p>
    <w:p>
      <w:pPr/>
      <w:r>
        <w:rPr/>
        <w:t xml:space="preserve">Enfin, en cas de danger grave ou imminent, le maire prescrit l'exécution des mesures exigées par les circonstances, si besoin sur une propriété privée (CE, 11 juillet 2014, </w:t>
      </w:r>
    </w:p>
    <w:p>
      <w:pPr/>
      <w:hyperlink r:id="rId8" w:history="1">
        <w:r>
          <w:rPr>
            <w:i w:val="1"/>
            <w:iCs w:val="1"/>
          </w:rPr>
          <w:t xml:space="preserve">copropriété Les Hauts de Riffroids</w:t>
        </w:r>
      </w:hyperlink>
    </w:p>
    <w:p>
      <w:pPr/>
      <w:r>
        <w:rPr/>
        <w:t xml:space="preserve">, n° 360835) (</w:t>
      </w:r>
    </w:p>
    <w:p>
      <w:pPr/>
      <w:r>
        <w:rPr>
          <w:i w:val="1"/>
          <w:iCs w:val="1"/>
        </w:rPr>
        <w:t xml:space="preserve">JO </w:t>
      </w:r>
    </w:p>
    <w:p>
      <w:pPr/>
      <w:r>
        <w:rPr/>
        <w:t xml:space="preserve">Sénat, 27.12.2018, question n° 07239, p. 6745).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affichJuriAdmin.do?oldAction=rechJuriAdmin&amp;idTexte=CETATEXT000018257746&amp;fastReqId=1504359172&amp;fastPos=1" TargetMode="External"/><Relationship Id="rId8" Type="http://schemas.openxmlformats.org/officeDocument/2006/relationships/hyperlink" Target="https://www.legifrance.gouv.fr/affichJuriAdmin.do?oldAction=rechJuriAdmin&amp;idTexte=CETATEXT000029225102&amp;fastReqId=165356251&amp;fastPo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2025-07-27T17:59:21+00:00</dcterms:created>
  <dcterms:modified xsi:type="dcterms:W3CDTF">2025-07-27T17:59:21+00:00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