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TEOM. Proportion entre le produit et le montant des dépenses de fontionnement</w:t>
      </w:r>
    </w:p>
    <w:p>
      <w:pPr>
        <w:pStyle w:val="Heading2"/>
      </w:pPr>
      <w:r>
        <w:rPr/>
        <w:t xml:space="preserve">Revue - Intercommunalité</w:t>
      </w:r>
    </w:p>
    <w:p>
      <w:pPr>
        <w:pStyle w:val="Heading3"/>
      </w:pPr>
      <w:r>
        <w:rPr/>
        <w:t xml:space="preserve">Source - Jurisprudence</w:t>
      </w:r>
    </w:p>
    <w:p/>
    <w:p>
      <w:pPr/>
      <w:r>
        <w:rPr/>
        <w:t xml:space="preserve"> La taxe d'enlèvement des ordures ménagères (TEOM) n'a pas le caractère d'un prélèvement opéré sur les contribuables en vue de pourvoir à l'ensemble des dépenses budgétaires, mais a exclusivement pour objet de couvrir les dépenses exposées par la commune pour assurer l'enlèvement et le traitement des ordures ménagères et non couvertes par des recettes non fiscales. Ces dépenses sont constituées de la somme de toutes les dépenses de fonctionnement réelles exposées pour le service public de collecte et de traitement des déchets ménagers et des dotations aux amortissements des immobilisations qui lui sont affectées. Il en résulte que le produit de cette taxe et, par voie de conséquence, son taux, ne doivent pas être manifestement disproportionnés par rapport au montant de telles dépenses, tel qu'il peut être estimé à la date du vote de la délibération fixant ce taux (CE, 17 octobre 2018, </w:t>
      </w:r>
    </w:p>
    <w:p>
      <w:pPr/>
      <w:r>
        <w:rPr>
          <w:i w:val="1"/>
          <w:iCs w:val="1"/>
        </w:rPr>
        <w:t xml:space="preserve">société Leroy Merlin France</w:t>
      </w:r>
    </w:p>
    <w:p>
      <w:pPr/>
      <w:r>
        <w:rPr/>
        <w:t xml:space="preserve">, n° 420580). </w:t>
      </w:r>
    </w:p>
    <w:p>
      <w:pPr/>
      <w:r>
        <w:rPr>
          <w:i w:val="1"/>
          <w:iCs w:val="1"/>
        </w:rPr>
        <w:t xml:space="preserve"> </w:t>
      </w:r>
    </w:p>
    <w:p>
      <w:pPr/>
      <w:r>
        <w:rPr>
          <w:b w:val="1"/>
          <w:bCs w:val="1"/>
          <w:i w:val="1"/>
          <w:iCs w:val="1"/>
        </w:rPr>
        <w:t xml:space="preserve">NDLR</w:t>
      </w:r>
    </w:p>
    <w:p>
      <w:pPr/>
      <w:r>
        <w:rPr>
          <w:i w:val="1"/>
          <w:iCs w:val="1"/>
        </w:rPr>
        <w:t xml:space="preserve"> : le PLF prévoit d’élargir aux investissements les dépenses pouvant être couvertes par la taxe.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2025-07-29T05:06:06+00:00</dcterms:created>
  <dcterms:modified xsi:type="dcterms:W3CDTF">2025-07-29T05:06:06+00:00</dcterms:modified>
</cp:coreProperties>
</file>

<file path=docProps/custom.xml><?xml version="1.0" encoding="utf-8"?>
<Properties xmlns="http://schemas.openxmlformats.org/officeDocument/2006/custom-properties" xmlns:vt="http://schemas.openxmlformats.org/officeDocument/2006/docPropsVTypes"/>
</file>