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Modalités d'élagage sur une voie départementale située à l'intérieur d'une agglomération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En application de l'article D 161-24 du code rural et de la pêche maritime, le maire dispose du pouvoir de police lui permettant de faire exécuter d'office l'élagage des plantations qui empiètent sur les chemins ruraux à partir de propriétés riveraines, aux frais de ces propriétaires. Le maire dispose du même pouvoir sur les voies communales en application de l'article L 2212-2-2 du CGCT et le président du conseil départemental sur les voies départementales à l'extérieur d'une agglomération en application de l'article L 131-7-1 du code de la voirie routière. En ce qui concerne les voies départementales situées à l'intérieur d'une l'agglomération, le maire peut imposer des travaux d'élagage d'arbres menaçant la sécurité publique sur le fondement des dispositions des articles L 2212-2 et L 2212-4 du CGCT en cas de danger grave ou imminent. Si dans ce dernier cas, en l'état actuel du droit, le coût des travaux incombe à la commune qui ne peut pas directement en imposer le paiement aux propriétaires riverains, celle-ci peut exercer devant le juge judiciaire une action récursoire à l'encontre des propriétaires, dès lors que les désordres constatés résident dans un manquement à leurs obligations (</w:t>
      </w:r>
    </w:p>
    <w:p>
      <w:pPr/>
      <w:r>
        <w:rPr>
          <w:i w:val="1"/>
          <w:iCs w:val="1"/>
        </w:rPr>
        <w:t xml:space="preserve">JO</w:t>
      </w:r>
    </w:p>
    <w:p>
      <w:pPr/>
      <w:r>
        <w:rPr/>
        <w:t xml:space="preserve"> Sénat, 20.09.2018, question n° 06399, p. 4801).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2025-07-29T06:10:38+00:00</dcterms:created>
  <dcterms:modified xsi:type="dcterms:W3CDTF">2025-07-29T06:10:38+00:00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