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Abattement spécial de taxe foncière sur les propriétés bâties en faveur des boutiques et magasins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Informations pratiques</w:t>
      </w:r>
    </w:p>
    <w:p/>
    <w:p>
      <w:pPr/>
      <w:r>
        <w:rPr/>
        <w:t xml:space="preserve"> L'article 1388 </w:t>
      </w:r>
    </w:p>
    <w:p>
      <w:pPr/>
      <w:r>
        <w:rPr>
          <w:i w:val="1"/>
          <w:iCs w:val="1"/>
        </w:rPr>
        <w:t xml:space="preserve">quinquies</w:t>
      </w:r>
    </w:p>
    <w:p>
      <w:pPr/>
      <w:r>
        <w:rPr/>
        <w:t xml:space="preserve"> C du CGI permet aux collectivités territoriales ou aux EPCI à fiscalité propre d'instituer, pour les magasins et boutiques dont la surface principale est inférieure à 400 m</w:t>
      </w:r>
    </w:p>
    <w:p>
      <w:pPr/>
      <w:r>
        <w:rPr>
          <w:vertAlign w:val="superscript"/>
        </w:rPr>
        <w:t xml:space="preserve">2</w:t>
      </w:r>
    </w:p>
    <w:p>
      <w:pPr/>
      <w:r>
        <w:rPr/>
        <w:t xml:space="preserve"> et qui ne sont pas intégrés à un ensemble commercial, un abattement de 1 % à 15 % sur la base d'imposition de la taxe foncière sur les propriétés bâties (TFPB). Conformément au I de </w:t>
      </w:r>
    </w:p>
    <w:p>
      <w:pPr/>
      <w:hyperlink r:id="rId7" w:history="1">
        <w:r>
          <w:rPr/>
          <w:t xml:space="preserve">l’article 1639 A</w:t>
        </w:r>
      </w:hyperlink>
    </w:p>
    <w:p>
      <w:pPr/>
      <w:hyperlink r:id="rId7" w:history="1">
        <w:r>
          <w:rPr>
            <w:i w:val="1"/>
            <w:iCs w:val="1"/>
          </w:rPr>
          <w:t xml:space="preserve"> bis</w:t>
        </w:r>
      </w:hyperlink>
    </w:p>
    <w:p>
      <w:pPr/>
      <w:r>
        <w:rPr>
          <w:i w:val="1"/>
          <w:iCs w:val="1"/>
        </w:rPr>
        <w:t xml:space="preserve"> </w:t>
      </w:r>
    </w:p>
    <w:p>
      <w:pPr/>
      <w:r>
        <w:rPr/>
        <w:t xml:space="preserve">du CGI, les délibérations doivent intervenir avant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octobre pour être applicables à compter de l’année suivante.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idArticle=LEGIARTI000033816803&amp;cidTexte=LEGITEXT000006069577&amp;dateTexte=20180920&amp;oldAction=rechCodeArticle&amp;fastReqId=1535372921&amp;nbResultRec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2025-07-27T12:35:56+00:00</dcterms:created>
  <dcterms:modified xsi:type="dcterms:W3CDTF">2025-07-27T12:35:56+00:00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