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Garantie des vices cachés. Application aux marchés publics de fournitures (oui)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</w:rPr>
        <w:t xml:space="preserve">1. </w:t>
      </w:r>
    </w:p>
    <w:p>
      <w:pPr/>
      <w:r>
        <w:rPr/>
        <w:t xml:space="preserve">Les règles résultant des articles 1641 à 1649 du code civil relatifs à la garantie des vices cachés sont applicables à un marché public de fourniture. </w:t>
      </w:r>
    </w:p>
    <w:p>
      <w:pPr/>
      <w:r>
        <w:rPr>
          <w:b w:val="1"/>
          <w:bCs w:val="1"/>
        </w:rPr>
        <w:t xml:space="preserve">2.</w:t>
      </w:r>
    </w:p>
    <w:p>
      <w:pPr/>
      <w:r>
        <w:rPr/>
        <w:t xml:space="preserve"> La prescription prévue par l'article L 110-4 du code de commerce n'est pas applicable aux obligations nées à l'occasion de marchés publics, notamment dans le cadre d'une action en garantie des vices cachées de l'article 1648 du code civil (CE, 7 juin 2018, </w:t>
      </w:r>
    </w:p>
    <w:p>
      <w:pPr/>
      <w:r>
        <w:rPr>
          <w:i w:val="1"/>
          <w:iCs w:val="1"/>
        </w:rPr>
        <w:t xml:space="preserve">syndicat mixte des transports pour le Rhône et l'agglomération lyonnaise</w:t>
      </w:r>
    </w:p>
    <w:p>
      <w:pPr/>
      <w:r>
        <w:rPr/>
        <w:t xml:space="preserve">, n° 416535).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2025-07-29T05:29:38+00:00</dcterms:created>
  <dcterms:modified xsi:type="dcterms:W3CDTF">2025-07-29T05:29:38+00:00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