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/>
        <w:t xml:space="preserve">Déclaration d’intérêts et de situation patrimoniale. Modification des personnes soumises à l’obligation</w:t>
      </w:r>
    </w:p>
    <w:p>
      <w:pPr>
        <w:pStyle w:val="Heading2"/>
      </w:pPr>
      <w:r>
        <w:rPr/>
        <w:t xml:space="preserve">Revue - Fonction Publique Territoriale</w:t>
      </w:r>
    </w:p>
    <w:p>
      <w:pPr>
        <w:pStyle w:val="Heading3"/>
      </w:pPr>
      <w:r>
        <w:rPr/>
        <w:t xml:space="preserve">Source - Lois et décrets</w:t>
      </w:r>
    </w:p>
    <w:p/>
    <w:p>
      <w:pPr/>
      <w:r>
        <w:rPr/>
        <w:t xml:space="preserve"> Le décret n° 2018-127 du 23 février 2018 modifie la liste des emplois concernés par la remise de déclarations d'intérêts et de situation patrimoniale. Il prévoit que les personnes soumises à l'obligation de déposer une déclaration de situation patrimoniale doivent nécessairement remettre une déclaration d'intérêts préalablement à leur nomination. Il précise également les emplois des établissements publics dont le budget est supérieur à 200 millions d'euros et ceux des services déconcentrés soumis à l'obligation de déclaration de situation patrimoniale.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2"/>
        <w:szCs w:val="22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before="220" w:after="240"/>
    </w:pPr>
    <w:rPr>
      <w:rFonts w:ascii="Arial" w:hAnsi="Arial" w:eastAsia="Arial" w:cs="Arial"/>
      <w:color w:val="000000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spacing w:after="240"/>
    </w:pPr>
    <w:rPr>
      <w:rFonts w:ascii="Arial" w:hAnsi="Arial" w:eastAsia="Arial" w:cs="Arial"/>
      <w:color w:val="000000"/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240"/>
    </w:pPr>
    <w:rPr>
      <w:rFonts w:ascii="Arial" w:hAnsi="Arial" w:eastAsia="Arial" w:cs="Arial"/>
      <w:color w:val="000000"/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2025-07-27T12:02:22+00:00</dcterms:created>
  <dcterms:modified xsi:type="dcterms:W3CDTF">2025-07-27T12:02:22+00:00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