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Actualisation annuelle des tarifs pour le mètre carré de taxe d'aménagement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Lois et décrets</w:t>
      </w:r>
    </w:p>
    <w:p/>
    <w:p>
      <w:pPr>
        <w:jc w:val="both"/>
      </w:pPr>
      <w:r>
        <w:rPr>
          <w:rFonts w:ascii="Arial" w:hAnsi="Arial" w:eastAsia="Arial" w:cs="Arial"/>
          <w:sz w:val="20"/>
          <w:szCs w:val="20"/>
        </w:rPr>
        <w:t xml:space="preserve">Conformément aux </w:t>
      </w:r>
    </w:p>
    <w:p>
      <w:pPr>
        <w:jc w:val="both"/>
      </w:pPr>
      <w:r>
        <w:rPr>
          <w:rFonts w:ascii="Arial" w:hAnsi="Arial" w:eastAsia="Arial" w:cs="Arial"/>
          <w:sz w:val="20"/>
          <w:szCs w:val="20"/>
        </w:rPr>
        <w:t xml:space="preserve">dispositions de </w:t>
      </w:r>
    </w:p>
    <w:p>
      <w:pPr/>
      <w:hyperlink r:id="rId7" w:history="1">
        <w:r>
          <w:rPr/>
          <w:t xml:space="preserve">l'article L 331-11</w:t>
        </w:r>
      </w:hyperlink>
    </w:p>
    <w:p>
      <w:pPr>
        <w:jc w:val="both"/>
      </w:pPr>
      <w:r>
        <w:rPr>
          <w:rFonts w:ascii="Arial" w:hAnsi="Arial" w:eastAsia="Arial" w:cs="Arial"/>
          <w:sz w:val="20"/>
          <w:szCs w:val="20"/>
        </w:rPr>
        <w:t xml:space="preserve"> du code de l'urbanisme</w:t>
      </w:r>
    </w:p>
    <w:p>
      <w:pPr>
        <w:jc w:val="both"/>
      </w:pPr>
      <w:r>
        <w:rPr>
          <w:rFonts w:ascii="Arial" w:hAnsi="Arial" w:eastAsia="Arial" w:cs="Arial"/>
          <w:sz w:val="20"/>
          <w:szCs w:val="20"/>
        </w:rPr>
        <w:t xml:space="preserve">, les valeurs au m</w:t>
      </w:r>
    </w:p>
    <w:p>
      <w:pPr>
        <w:jc w:val="both"/>
      </w:pPr>
      <w:r>
        <w:rPr>
          <w:rFonts w:ascii="Arial" w:hAnsi="Arial" w:eastAsia="Arial" w:cs="Arial"/>
          <w:vertAlign w:val="superscript"/>
        </w:rPr>
        <w:t xml:space="preserve">2</w:t>
      </w:r>
    </w:p>
    <w:p>
      <w:pPr>
        <w:jc w:val="both"/>
      </w:pPr>
      <w:r>
        <w:rPr>
          <w:rFonts w:ascii="Arial" w:hAnsi="Arial" w:eastAsia="Arial" w:cs="Arial"/>
          <w:sz w:val="20"/>
          <w:szCs w:val="20"/>
        </w:rPr>
        <w:t xml:space="preserve"> de surface de construction, constituant l'assiette de la taxe d'aménagement perçue à l'occasion de la construction, de la reconstruction sont actualisées au 1</w:t>
      </w:r>
    </w:p>
    <w:p>
      <w:pPr>
        <w:jc w:val="both"/>
      </w:pPr>
      <w:r>
        <w:rPr>
          <w:rFonts w:ascii="Arial" w:hAnsi="Arial" w:eastAsia="Arial" w:cs="Arial"/>
          <w:vertAlign w:val="superscript"/>
        </w:rPr>
        <w:t xml:space="preserve">er</w:t>
      </w:r>
    </w:p>
    <w:p>
      <w:pPr>
        <w:jc w:val="both"/>
      </w:pPr>
      <w:r>
        <w:rPr>
          <w:rFonts w:ascii="Arial" w:hAnsi="Arial" w:eastAsia="Arial" w:cs="Arial"/>
          <w:sz w:val="20"/>
          <w:szCs w:val="20"/>
        </w:rPr>
        <w:t xml:space="preserve"> janvier de chaque année, en fonction du dernier indice du coût de la construction connu à cette date, et arrondies à l'euro inférieur. Les tarifs par mètre carré de construction s'élèvent, pour la période du 1</w:t>
      </w:r>
    </w:p>
    <w:p>
      <w:pPr>
        <w:jc w:val="both"/>
      </w:pPr>
      <w:r>
        <w:rPr>
          <w:rFonts w:ascii="Arial" w:hAnsi="Arial" w:eastAsia="Arial" w:cs="Arial"/>
          <w:vertAlign w:val="superscript"/>
        </w:rPr>
        <w:t xml:space="preserve">er</w:t>
      </w:r>
    </w:p>
    <w:p>
      <w:pPr>
        <w:jc w:val="both"/>
      </w:pPr>
      <w:r>
        <w:rPr>
          <w:rFonts w:ascii="Arial" w:hAnsi="Arial" w:eastAsia="Arial" w:cs="Arial"/>
          <w:sz w:val="20"/>
          <w:szCs w:val="20"/>
        </w:rPr>
        <w:t xml:space="preserve"> janvier 2018 au 31 décembre 2018, aux valeurs suivantes :</w:t>
      </w:r>
    </w:p>
    <w:p>
      <w:pPr>
        <w:jc w:val="both"/>
        <w:spacing w:after="0" w:line="240" w:lineRule="auto"/>
      </w:pPr>
      <w:r>
        <w:rPr>
          <w:rFonts w:ascii="&quot;Arial&quot;" w:hAnsi="&quot;Arial&quot;" w:eastAsia="&quot;Arial&quot;" w:cs="&quot;Arial&quot;"/>
          <w:sz w:val="20"/>
          <w:szCs w:val="20"/>
        </w:rPr>
        <w:t xml:space="preserve"> </w:t>
      </w:r>
    </w:p>
    <w:tbl>
      <w:tblGrid>
        <w:gridCol w:w="300" w:type="dxa"/>
        <w:gridCol w:w="300" w:type="dxa"/>
        <w:gridCol w:w="300" w:type="dxa"/>
        <w:gridCol w:w="300" w:type="dxa"/>
      </w:tblGrid>
      <w:tblPr>
        <w:tblW w:w="0" w:type="auto"/>
        <w:tblCellSpacing w:w="0" w:type="dxa"/>
        <w:tblLayout w:type="autofit"/>
        <w:tblBorders>
          <w:top w:val="single" w:sz="15"/>
          <w:left w:val="single" w:sz="15"/>
          <w:right w:val="single" w:sz="15"/>
          <w:bottom w:val="single" w:sz="15"/>
          <w:insideH w:val="single" w:sz="15"/>
          <w:insideV w:val="single" w:sz="15"/>
        </w:tblBorders>
      </w:tblPr>
      <w:tr>
        <w:trPr/>
        <w:tc>
          <w:tcPr>
            <w:tcW w:w="300" w:type="dxa"/>
            <w:tcMar>
              <w:top w:w="0" w:type="dxa"/>
              <w:start w:w="108" w:type="dxa"/>
              <w:bottom w:w="0" w:type="dxa"/>
              <w:end w:w="108" w:type="dxa"/>
            </w:tcMar>
            <w:vAlign w:val="top"/>
            <w:noWrap/>
          </w:tcPr>
          <w:p>
            <w:pPr>
              <w:jc w:val="center"/>
              <w:spacing w:after="0" w:line="240" w:lineRule="auto"/>
            </w:pPr>
            <w:r>
              <w:rPr>
                <w:rFonts w:ascii="&quot;Verdana&quot;" w:hAnsi="&quot;Verdana&quot;" w:eastAsia="&quot;Verdana&quot;" w:cs="&quot;Verdana&quot;"/>
                <w:sz w:val="17"/>
                <w:szCs w:val="17"/>
              </w:rPr>
              <w:t xml:space="preserve"> </w:t>
            </w:r>
          </w:p>
        </w:tc>
        <w:tc>
          <w:tcPr>
            <w:tcW w:w="300" w:type="dxa"/>
            <w:tcMar>
              <w:top w:w="0" w:type="dxa"/>
              <w:start w:w="108" w:type="dxa"/>
              <w:bottom w:w="0" w:type="dxa"/>
              <w:end w:w="108" w:type="dxa"/>
            </w:tcMar>
            <w:vAlign w:val="top"/>
            <w:noWrap/>
          </w:tcPr>
          <w:p>
            <w:pPr>
              <w:jc w:val="center"/>
              <w:spacing w:after="0" w:line="240" w:lineRule="auto"/>
            </w:pPr>
            <w:r>
              <w:rPr>
                <w:rFonts w:ascii="&quot;Verdana&quot;" w:hAnsi="&quot;Verdana&quot;" w:eastAsia="&quot;Verdana&quot;" w:cs="&quot;Verdana&quot;"/>
                <w:sz w:val="17"/>
                <w:szCs w:val="17"/>
                <w:b w:val="1"/>
                <w:bCs w:val="1"/>
              </w:rPr>
              <w:t xml:space="preserve"> </w:t>
            </w:r>
          </w:p>
          <w:p>
            <w:pPr>
              <w:jc w:val="center"/>
              <w:spacing w:after="0" w:line="240" w:lineRule="auto"/>
            </w:pPr>
            <w:r>
              <w:rPr>
                <w:rFonts w:ascii="&quot;Verdana&quot;" w:hAnsi="&quot;Verdana&quot;" w:eastAsia="&quot;Verdana&quot;" w:cs="&quot;Verdana&quot;"/>
                <w:sz w:val="17"/>
                <w:szCs w:val="17"/>
                <w:b w:val="1"/>
                <w:bCs w:val="1"/>
              </w:rPr>
              <w:t xml:space="preserve">Hors Ile-de-France</w:t>
            </w:r>
          </w:p>
          <w:p>
            <w:pPr>
              <w:jc w:val="center"/>
              <w:spacing w:after="0" w:line="240" w:lineRule="auto"/>
            </w:pPr>
            <w:r>
              <w:rPr>
                <w:rFonts w:ascii="&quot;Verdana&quot;" w:hAnsi="&quot;Verdana&quot;" w:eastAsia="&quot;Verdana&quot;" w:cs="&quot;Verdana&quot;"/>
                <w:sz w:val="17"/>
                <w:szCs w:val="17"/>
                <w:b w:val="1"/>
                <w:bCs w:val="1"/>
              </w:rPr>
              <w:t xml:space="preserve"> </w:t>
            </w:r>
          </w:p>
        </w:tc>
        <w:tc>
          <w:tcPr>
            <w:tcW w:w="300" w:type="dxa"/>
            <w:tcMar>
              <w:top w:w="0" w:type="dxa"/>
              <w:start w:w="108" w:type="dxa"/>
              <w:bottom w:w="0" w:type="dxa"/>
              <w:end w:w="108" w:type="dxa"/>
            </w:tcMar>
            <w:vAlign w:val="top"/>
            <w:noWrap/>
          </w:tcPr>
          <w:p>
            <w:pPr>
              <w:jc w:val="center"/>
              <w:spacing w:after="0" w:line="240" w:lineRule="auto"/>
            </w:pPr>
            <w:r>
              <w:rPr>
                <w:rFonts w:ascii="&quot;Verdana&quot;" w:hAnsi="&quot;Verdana&quot;" w:eastAsia="&quot;Verdana&quot;" w:cs="&quot;Verdana&quot;"/>
                <w:sz w:val="17"/>
                <w:szCs w:val="17"/>
                <w:b w:val="1"/>
                <w:bCs w:val="1"/>
              </w:rPr>
              <w:t xml:space="preserve"> </w:t>
            </w:r>
          </w:p>
          <w:p>
            <w:pPr>
              <w:jc w:val="center"/>
              <w:spacing w:after="0" w:line="240" w:lineRule="auto"/>
            </w:pPr>
            <w:r>
              <w:rPr>
                <w:rFonts w:ascii="&quot;Verdana&quot;" w:hAnsi="&quot;Verdana&quot;" w:eastAsia="&quot;Verdana&quot;" w:cs="&quot;Verdana&quot;"/>
                <w:sz w:val="17"/>
                <w:szCs w:val="17"/>
                <w:b w:val="1"/>
                <w:bCs w:val="1"/>
              </w:rPr>
              <w:t xml:space="preserve">Ile-de-France</w:t>
            </w:r>
          </w:p>
        </w:tc>
        <w:tc>
          <w:tcPr>
            <w:tcW w:w="300" w:type="dxa"/>
            <w:tcMar>
              <w:top w:w="0" w:type="dxa"/>
              <w:start w:w="108" w:type="dxa"/>
              <w:bottom w:w="0" w:type="dxa"/>
              <w:end w:w="108" w:type="dxa"/>
            </w:tcMar>
            <w:vAlign w:val="top"/>
            <w:noWrap/>
          </w:tcPr>
          <w:p>
            <w:pPr>
              <w:jc w:val="center"/>
              <w:spacing w:after="0" w:line="240" w:lineRule="auto"/>
            </w:pPr>
            <w:r>
              <w:rPr>
                <w:rFonts w:ascii="&quot;Verdana&quot;" w:hAnsi="&quot;Verdana&quot;" w:eastAsia="&quot;Verdana&quot;" w:cs="&quot;Verdana&quot;"/>
                <w:sz w:val="17"/>
                <w:szCs w:val="17"/>
                <w:b w:val="1"/>
                <w:bCs w:val="1"/>
              </w:rPr>
              <w:t xml:space="preserve"> </w:t>
            </w:r>
          </w:p>
          <w:p>
            <w:pPr>
              <w:jc w:val="center"/>
              <w:spacing w:after="0" w:line="240" w:lineRule="auto"/>
            </w:pPr>
            <w:r>
              <w:rPr>
                <w:rFonts w:ascii="&quot;Verdana&quot;" w:hAnsi="&quot;Verdana&quot;" w:eastAsia="&quot;Verdana&quot;" w:cs="&quot;Verdana&quot;"/>
                <w:sz w:val="17"/>
                <w:szCs w:val="17"/>
                <w:b w:val="1"/>
                <w:bCs w:val="1"/>
              </w:rPr>
              <w:t xml:space="preserve">Indices</w:t>
            </w:r>
          </w:p>
        </w:tc>
      </w:tr>
      <w:tr>
        <w:trPr/>
        <w:tc>
          <w:tcPr>
            <w:tcW w:w="300" w:type="dxa"/>
            <w:tcMar>
              <w:top w:w="0" w:type="dxa"/>
              <w:start w:w="108" w:type="dxa"/>
              <w:bottom w:w="0" w:type="dxa"/>
              <w:end w:w="108" w:type="dxa"/>
            </w:tcMar>
            <w:vAlign w:val="top"/>
            <w:noWrap/>
          </w:tcPr>
          <w:p>
            <w:pPr>
              <w:jc w:val="center"/>
              <w:spacing w:after="0" w:line="240" w:lineRule="auto"/>
            </w:pPr>
            <w:r>
              <w:rPr>
                <w:rFonts w:ascii="&quot;Verdana&quot;" w:hAnsi="&quot;Verdana&quot;" w:eastAsia="&quot;Verdana&quot;" w:cs="&quot;Verdana&quot;"/>
                <w:sz w:val="17"/>
                <w:szCs w:val="17"/>
              </w:rPr>
              <w:t xml:space="preserve"> </w:t>
            </w:r>
          </w:p>
          <w:p>
            <w:pPr>
              <w:jc w:val="center"/>
              <w:spacing w:after="0" w:line="240" w:lineRule="auto"/>
            </w:pPr>
            <w:r>
              <w:rPr>
                <w:rFonts w:ascii="&quot;Verdana&quot;" w:hAnsi="&quot;Verdana&quot;" w:eastAsia="&quot;Verdana&quot;" w:cs="&quot;Verdana&quot;"/>
                <w:sz w:val="17"/>
                <w:szCs w:val="17"/>
              </w:rPr>
              <w:t xml:space="preserve">Rappel de la valeur 2011</w:t>
            </w:r>
          </w:p>
          <w:p>
            <w:pPr>
              <w:jc w:val="center"/>
              <w:spacing w:after="0" w:line="240" w:lineRule="auto"/>
            </w:pPr>
            <w:r>
              <w:rPr>
                <w:rFonts w:ascii="&quot;Verdana&quot;" w:hAnsi="&quot;Verdana&quot;" w:eastAsia="&quot;Verdana&quot;" w:cs="&quot;Verdana&quot;"/>
                <w:sz w:val="17"/>
                <w:szCs w:val="17"/>
              </w:rPr>
              <w:t xml:space="preserve"> </w:t>
            </w:r>
          </w:p>
        </w:tc>
        <w:tc>
          <w:tcPr>
            <w:tcW w:w="300" w:type="dxa"/>
            <w:tcMar>
              <w:top w:w="0" w:type="dxa"/>
              <w:start w:w="108" w:type="dxa"/>
              <w:bottom w:w="0" w:type="dxa"/>
              <w:end w:w="108" w:type="dxa"/>
            </w:tcMar>
            <w:vAlign w:val="top"/>
            <w:noWrap/>
          </w:tcPr>
          <w:p>
            <w:pPr>
              <w:jc w:val="center"/>
              <w:spacing w:after="0" w:line="240" w:lineRule="auto"/>
            </w:pPr>
            <w:r>
              <w:rPr>
                <w:rFonts w:ascii="&quot;Verdana&quot;" w:hAnsi="&quot;Verdana&quot;" w:eastAsia="&quot;Verdana&quot;" w:cs="&quot;Verdana&quot;"/>
                <w:sz w:val="17"/>
                <w:szCs w:val="17"/>
              </w:rPr>
              <w:t xml:space="preserve"> </w:t>
            </w:r>
          </w:p>
          <w:p>
            <w:pPr>
              <w:jc w:val="center"/>
              <w:spacing w:after="0" w:line="240" w:lineRule="auto"/>
            </w:pPr>
            <w:r>
              <w:rPr>
                <w:rFonts w:ascii="&quot;Verdana&quot;" w:hAnsi="&quot;Verdana&quot;" w:eastAsia="&quot;Verdana&quot;" w:cs="&quot;Verdana&quot;"/>
                <w:sz w:val="17"/>
                <w:szCs w:val="17"/>
              </w:rPr>
              <w:t xml:space="preserve">660 €</w:t>
            </w:r>
          </w:p>
        </w:tc>
        <w:tc>
          <w:tcPr>
            <w:tcW w:w="300" w:type="dxa"/>
            <w:tcMar>
              <w:top w:w="0" w:type="dxa"/>
              <w:start w:w="108" w:type="dxa"/>
              <w:bottom w:w="0" w:type="dxa"/>
              <w:end w:w="108" w:type="dxa"/>
            </w:tcMar>
            <w:vAlign w:val="top"/>
            <w:noWrap/>
          </w:tcPr>
          <w:p>
            <w:pPr>
              <w:jc w:val="center"/>
              <w:spacing w:after="0" w:line="240" w:lineRule="auto"/>
            </w:pPr>
            <w:r>
              <w:rPr>
                <w:rFonts w:ascii="&quot;Verdana&quot;" w:hAnsi="&quot;Verdana&quot;" w:eastAsia="&quot;Verdana&quot;" w:cs="&quot;Verdana&quot;"/>
                <w:sz w:val="17"/>
                <w:szCs w:val="17"/>
              </w:rPr>
              <w:t xml:space="preserve"> </w:t>
            </w:r>
          </w:p>
          <w:p>
            <w:pPr>
              <w:jc w:val="center"/>
              <w:spacing w:after="0" w:line="240" w:lineRule="auto"/>
            </w:pPr>
            <w:r>
              <w:rPr>
                <w:rFonts w:ascii="&quot;Verdana&quot;" w:hAnsi="&quot;Verdana&quot;" w:eastAsia="&quot;Verdana&quot;" w:cs="&quot;Verdana&quot;"/>
                <w:sz w:val="17"/>
                <w:szCs w:val="17"/>
              </w:rPr>
              <w:t xml:space="preserve">748 €</w:t>
            </w:r>
          </w:p>
          <w:p>
            <w:pPr>
              <w:jc w:val="center"/>
              <w:spacing w:after="0" w:line="240" w:lineRule="auto"/>
            </w:pPr>
            <w:r>
              <w:rPr>
                <w:rFonts w:ascii="&quot;Verdana&quot;" w:hAnsi="&quot;Verdana&quot;" w:eastAsia="&quot;Verdana&quot;" w:cs="&quot;Verdana&quot;"/>
                <w:sz w:val="17"/>
                <w:szCs w:val="17"/>
              </w:rPr>
              <w:t xml:space="preserve"> </w:t>
            </w:r>
          </w:p>
        </w:tc>
        <w:tc>
          <w:tcPr>
            <w:tcW w:w="300" w:type="dxa"/>
            <w:tcMar>
              <w:top w:w="0" w:type="dxa"/>
              <w:start w:w="108" w:type="dxa"/>
              <w:bottom w:w="0" w:type="dxa"/>
              <w:end w:w="108" w:type="dxa"/>
            </w:tcMar>
            <w:vAlign w:val="top"/>
            <w:noWrap/>
          </w:tcPr>
          <w:p>
            <w:pPr>
              <w:jc w:val="center"/>
              <w:spacing w:after="0" w:line="240" w:lineRule="auto"/>
            </w:pPr>
            <w:r>
              <w:rPr>
                <w:rFonts w:ascii="&quot;Verdana&quot;" w:hAnsi="&quot;Verdana&quot;" w:eastAsia="&quot;Verdana&quot;" w:cs="&quot;Verdana&quot;"/>
                <w:sz w:val="17"/>
                <w:szCs w:val="17"/>
              </w:rPr>
              <w:t xml:space="preserve"> </w:t>
            </w:r>
          </w:p>
          <w:p>
            <w:pPr>
              <w:jc w:val="center"/>
              <w:spacing w:after="0" w:line="240" w:lineRule="auto"/>
            </w:pPr>
            <w:r>
              <w:rPr>
                <w:rFonts w:ascii="&quot;Verdana&quot;" w:hAnsi="&quot;Verdana&quot;" w:eastAsia="&quot;Verdana&quot;" w:cs="&quot;Verdana&quot;"/>
                <w:sz w:val="17"/>
                <w:szCs w:val="17"/>
              </w:rPr>
              <w:t xml:space="preserve">1 517</w:t>
            </w:r>
          </w:p>
        </w:tc>
      </w:tr>
      <w:tr>
        <w:trPr>
          <w:trHeight w:val="354" w:hRule="exact"/>
        </w:trPr>
        <w:tc>
          <w:tcPr>
            <w:tcW w:w="300" w:type="dxa"/>
            <w:tcMar>
              <w:top w:w="0" w:type="dxa"/>
              <w:start w:w="108" w:type="dxa"/>
              <w:bottom w:w="0" w:type="dxa"/>
              <w:end w:w="108" w:type="dxa"/>
            </w:tcMar>
            <w:vAlign w:val="top"/>
            <w:noWrap/>
          </w:tcPr>
          <w:p>
            <w:pPr>
              <w:jc w:val="center"/>
              <w:spacing w:after="0" w:line="240" w:lineRule="auto"/>
            </w:pPr>
            <w:r>
              <w:rPr>
                <w:rFonts w:ascii="&quot;Verdana&quot;" w:hAnsi="&quot;Verdana&quot;" w:eastAsia="&quot;Verdana&quot;" w:cs="&quot;Verdana&quot;"/>
                <w:sz w:val="17"/>
                <w:szCs w:val="17"/>
              </w:rPr>
              <w:t xml:space="preserve"> </w:t>
            </w:r>
          </w:p>
          <w:p>
            <w:pPr>
              <w:jc w:val="center"/>
              <w:spacing w:after="0" w:line="240" w:lineRule="auto"/>
            </w:pPr>
            <w:r>
              <w:rPr>
                <w:rFonts w:ascii="&quot;Verdana&quot;" w:hAnsi="&quot;Verdana&quot;" w:eastAsia="&quot;Verdana&quot;" w:cs="&quot;Verdana&quot;"/>
                <w:sz w:val="17"/>
                <w:szCs w:val="17"/>
              </w:rPr>
              <w:t xml:space="preserve">Valeur 2018 </w:t>
            </w:r>
            <w:br/>
            <w:r>
              <w:rPr>
                <w:rFonts w:ascii="&quot;Verdana&quot;" w:hAnsi="&quot;Verdana&quot;" w:eastAsia="&quot;Verdana&quot;" w:cs="&quot;Verdana&quot;"/>
                <w:sz w:val="17"/>
                <w:szCs w:val="17"/>
              </w:rPr>
              <w:t xml:space="preserve">   (arrondie à l'euro inférieur)</w:t>
            </w:r>
          </w:p>
          <w:p>
            <w:pPr>
              <w:jc w:val="center"/>
              <w:spacing w:after="0" w:line="240" w:lineRule="auto"/>
            </w:pPr>
            <w:r>
              <w:rPr>
                <w:rFonts w:ascii="&quot;Verdana&quot;" w:hAnsi="&quot;Verdana&quot;" w:eastAsia="&quot;Verdana&quot;" w:cs="&quot;Verdana&quot;"/>
                <w:sz w:val="17"/>
                <w:szCs w:val="17"/>
              </w:rPr>
              <w:t xml:space="preserve"> </w:t>
            </w:r>
          </w:p>
        </w:tc>
        <w:tc>
          <w:tcPr>
            <w:tcW w:w="300" w:type="dxa"/>
            <w:tcMar>
              <w:top w:w="0" w:type="dxa"/>
              <w:start w:w="108" w:type="dxa"/>
              <w:bottom w:w="0" w:type="dxa"/>
              <w:end w:w="108" w:type="dxa"/>
            </w:tcMar>
            <w:vAlign w:val="top"/>
            <w:noWrap/>
          </w:tcPr>
          <w:p>
            <w:pPr>
              <w:jc w:val="center"/>
              <w:spacing w:after="0" w:line="240" w:lineRule="auto"/>
            </w:pPr>
            <w:r>
              <w:rPr>
                <w:rFonts w:ascii="&quot;Verdana&quot;" w:hAnsi="&quot;Verdana&quot;" w:eastAsia="&quot;Verdana&quot;" w:cs="&quot;Verdana&quot;"/>
                <w:sz w:val="17"/>
                <w:szCs w:val="17"/>
              </w:rPr>
              <w:t xml:space="preserve"> </w:t>
            </w:r>
          </w:p>
          <w:p>
            <w:pPr>
              <w:jc w:val="center"/>
              <w:spacing w:after="0" w:line="240" w:lineRule="auto"/>
            </w:pPr>
            <w:br/>
            <w:r>
              <w:rPr>
                <w:rFonts w:ascii="&quot;Verdana&quot;" w:hAnsi="&quot;Verdana&quot;" w:eastAsia="&quot;Verdana&quot;" w:cs="&quot;Verdana&quot;"/>
                <w:sz w:val="17"/>
                <w:szCs w:val="17"/>
              </w:rPr>
              <w:t xml:space="preserve">   726 €</w:t>
            </w:r>
          </w:p>
        </w:tc>
        <w:tc>
          <w:tcPr>
            <w:tcW w:w="300" w:type="dxa"/>
            <w:tcMar>
              <w:top w:w="0" w:type="dxa"/>
              <w:start w:w="108" w:type="dxa"/>
              <w:bottom w:w="0" w:type="dxa"/>
              <w:end w:w="108" w:type="dxa"/>
            </w:tcMar>
            <w:vAlign w:val="top"/>
            <w:noWrap/>
          </w:tcPr>
          <w:p>
            <w:pPr>
              <w:jc w:val="center"/>
              <w:spacing w:after="0" w:line="240" w:lineRule="auto"/>
            </w:pPr>
            <w:r>
              <w:rPr>
                <w:rFonts w:ascii="&quot;Verdana&quot;" w:hAnsi="&quot;Verdana&quot;" w:eastAsia="&quot;Verdana&quot;" w:cs="&quot;Verdana&quot;"/>
                <w:sz w:val="17"/>
                <w:szCs w:val="17"/>
              </w:rPr>
              <w:t xml:space="preserve"> </w:t>
            </w:r>
          </w:p>
          <w:p>
            <w:pPr>
              <w:jc w:val="center"/>
              <w:spacing w:after="0" w:line="240" w:lineRule="auto"/>
            </w:pPr>
            <w:br/>
            <w:r>
              <w:rPr>
                <w:rFonts w:ascii="&quot;Verdana&quot;" w:hAnsi="&quot;Verdana&quot;" w:eastAsia="&quot;Verdana&quot;" w:cs="&quot;Verdana&quot;"/>
                <w:sz w:val="17"/>
                <w:szCs w:val="17"/>
              </w:rPr>
              <w:t xml:space="preserve">   823 €</w:t>
            </w:r>
          </w:p>
        </w:tc>
        <w:tc>
          <w:tcPr>
            <w:tcW w:w="300" w:type="dxa"/>
            <w:tcMar>
              <w:top w:w="0" w:type="dxa"/>
              <w:start w:w="108" w:type="dxa"/>
              <w:bottom w:w="0" w:type="dxa"/>
              <w:end w:w="108" w:type="dxa"/>
            </w:tcMar>
            <w:vAlign w:val="top"/>
            <w:noWrap/>
          </w:tcPr>
          <w:p>
            <w:pPr>
              <w:jc w:val="center"/>
              <w:spacing w:after="0" w:line="240" w:lineRule="auto"/>
            </w:pPr>
            <w:r>
              <w:rPr>
                <w:rFonts w:ascii="&quot;Verdana&quot;" w:hAnsi="&quot;Verdana&quot;" w:eastAsia="&quot;Verdana&quot;" w:cs="&quot;Verdana&quot;"/>
                <w:sz w:val="17"/>
                <w:szCs w:val="17"/>
              </w:rPr>
              <w:t xml:space="preserve"> </w:t>
            </w:r>
          </w:p>
          <w:p>
            <w:pPr>
              <w:jc w:val="center"/>
              <w:spacing w:after="0" w:line="240" w:lineRule="auto"/>
            </w:pPr>
            <w:br/>
            <w:r>
              <w:rPr>
                <w:rFonts w:ascii="&quot;Verdana&quot;" w:hAnsi="&quot;Verdana&quot;" w:eastAsia="&quot;Verdana&quot;" w:cs="&quot;Verdana&quot;"/>
                <w:sz w:val="17"/>
                <w:szCs w:val="17"/>
              </w:rPr>
              <w:t xml:space="preserve">   1670</w:t>
            </w:r>
          </w:p>
          <w:p>
            <w:pPr>
              <w:jc w:val="center"/>
              <w:spacing w:after="0" w:line="240" w:lineRule="auto"/>
            </w:pPr>
            <w:r>
              <w:rPr>
                <w:rFonts w:ascii="&quot;Verdana&quot;" w:hAnsi="&quot;Verdana&quot;" w:eastAsia="&quot;Verdana&quot;" w:cs="&quot;Verdana&quot;"/>
                <w:sz w:val="17"/>
                <w:szCs w:val="17"/>
              </w:rPr>
              <w:t xml:space="preserve"> 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affichCodeArticle.do?cidTexte=LEGITEXT000006074075&amp;idArticle=LEGIARTI000023368811&amp;dateTexte=&amp;categorieLien=c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2025-07-29T06:16:59+00:00</dcterms:created>
  <dcterms:modified xsi:type="dcterms:W3CDTF">2025-07-29T06:16:59+00:00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