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Remboursement par l'autorité territoriale des sommes versées en violation de l'interdiction d'emploi de membres de sa famille comme collaborateur de cabinet. Modalités</w:t>
      </w:r>
    </w:p>
    <w:p>
      <w:pPr>
        <w:pStyle w:val="Heading2"/>
      </w:pPr>
      <w:r>
        <w:rPr/>
        <w:t xml:space="preserve">Revue - Fonction Publique Territoriale</w:t>
      </w:r>
    </w:p>
    <w:p>
      <w:pPr>
        <w:pStyle w:val="Heading3"/>
      </w:pPr>
      <w:r>
        <w:rPr/>
        <w:t xml:space="preserve">Source - Lois et décrets</w:t>
      </w:r>
    </w:p>
    <w:p/>
    <w:p>
      <w:pPr/>
      <w:r>
        <w:rPr/>
        <w:t xml:space="preserve"> Les dispositions relatives à l'interdiction de l'emploi par les autorités territoriales, en qualité de collaborateur de cabinet, de certains membres de leur famille, prévoient que la violation de cette interdiction non seulement est punie d'une peine de trois ans d'emprisonnement et 45 000 € d'amende, entraîne la cessation de plein droit du contrat, mais également impose le remboursement par l'autorité territoriale des sommes illégalement versées. Le décret n° 2017-1692 du 14 décembre 2017 met en œuvre cette disposition et précise le calcul des sommes à rembourser ainsi que le mode de recouvrement.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2025-07-29T05:08:54+00:00</dcterms:created>
  <dcterms:modified xsi:type="dcterms:W3CDTF">2025-07-29T05:08:54+00:00</dcterms:modified>
</cp:coreProperties>
</file>

<file path=docProps/custom.xml><?xml version="1.0" encoding="utf-8"?>
<Properties xmlns="http://schemas.openxmlformats.org/officeDocument/2006/custom-properties" xmlns:vt="http://schemas.openxmlformats.org/officeDocument/2006/docPropsVTypes"/>
</file>