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Bâtiment détruit par un sinistre. Reconstruction à l’identique. Exception : réglementation locale d'urbanisme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Il résulte de l'article L 111-3 du code de l'urbanisme que, dès lors qu'un bâtiment a été régulièrement construit, seules des dispositions expresses de la réglementation locale d'urbanisme prévoyant l'interdiction de la reconstruction à l'identique de bâtiments détruits par sinistre ou démolis peuvent faire légalement obstacle à sa reconstruction (CE, 8 novembre 2017, </w:t>
      </w:r>
    </w:p>
    <w:p>
      <w:pPr/>
      <w:r>
        <w:rPr>
          <w:rFonts w:ascii="Arial" w:hAnsi="Arial" w:eastAsia="Arial" w:cs="Arial"/>
          <w:sz w:val="19.219199999999997"/>
          <w:szCs w:val="19.219199999999997"/>
          <w:i w:val="1"/>
          <w:iCs w:val="1"/>
        </w:rPr>
        <w:t xml:space="preserve">société Battos</w:t>
      </w:r>
    </w:p>
    <w:p>
      <w:pPr/>
      <w:r>
        <w:rPr>
          <w:rFonts w:ascii="Arial" w:hAnsi="Arial" w:eastAsia="Arial" w:cs="Arial"/>
          <w:sz w:val="19.219199999999997"/>
          <w:szCs w:val="19.219199999999997"/>
        </w:rPr>
        <w:t xml:space="preserve">, </w:t>
      </w:r>
    </w:p>
    <w:p>
      <w:pPr/>
      <w:r>
        <w:rPr/>
        <w:t xml:space="preserve">n° 403599).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2025-07-29T05:01:12+00:00</dcterms:created>
  <dcterms:modified xsi:type="dcterms:W3CDTF">2025-07-29T05:01:12+00:00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