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Absence sans autorisation. Retenue sur traitement. Compétence liée de l'administration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L’administration a compétence liée pour procéder à une retenue sur traitement, à due proportion, en l'absence de service fait (CAA Versailles, 6 juillet 2017, </w:t>
      </w:r>
    </w:p>
    <w:p>
      <w:pPr/>
      <w:r>
        <w:rPr>
          <w:i w:val="1"/>
          <w:iCs w:val="1"/>
        </w:rPr>
        <w:t xml:space="preserve">M. D.</w:t>
      </w:r>
    </w:p>
    <w:p>
      <w:pPr/>
      <w:r>
        <w:rPr/>
        <w:t xml:space="preserve">, n° 15VE01108).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2025-07-29T05:32:11+00:00</dcterms:created>
  <dcterms:modified xsi:type="dcterms:W3CDTF">2025-07-29T05:32:11+00:00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