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Corps et cadres d'emplois de la catégorie C. Accès par la voie du parcours d'accès aux carrières</w:t>
      </w:r>
    </w:p>
    <w:p>
      <w:pPr>
        <w:pStyle w:val="Heading2"/>
      </w:pPr>
      <w:r>
        <w:rPr/>
        <w:t xml:space="preserve">Revue - Fonction Publique Territoriale</w:t>
      </w:r>
    </w:p>
    <w:p>
      <w:pPr>
        <w:pStyle w:val="Heading3"/>
      </w:pPr>
      <w:r>
        <w:rPr/>
        <w:t xml:space="preserve">Source - Lois et décrets</w:t>
      </w:r>
    </w:p>
    <w:p/>
    <w:p>
      <w:pPr/>
      <w:r>
        <w:rPr/>
        <w:t xml:space="preserve"> Le décret n° 2017-1470 du 12 octobre tient compte de l'élargissement par la loi du vivier du dispositif « parcours d'accès aux carrières de la fonction publique territoriale, hospitalière et d'Etat » en portant à 28 ans au plus l'âge des bénéficiaires de ce dispositif, en ouvrant l'accès à ce parcours aux personnes de 45 ans et plus en chômage de longue durée et bénéficiaires de minima sociaux. Il rapproche les dispositions qui régissent les bénéficiaires du PACTE de celles qui régissent les agents contractuels des trois fonctions publiques. Il accorde  un congé sans rémunération pour raison de famille, conformément aux dispositions qui s'appliquent aux agents contractuels des trois fonctions publiques. Il précise que la période à prendre en compte pour la détermination de la limite de 20 % des postes à pourvoir par cette voie et au recrutement sans concours est l'année civile correspondant à l'année au titre de laquelle le recrutement sans concours est ouvert. Il limite le nombre de personnes qu'un tuteur peut encadrer. Enfin, il prévoit un bilan des recrutements au titre de ce dispositif, présenté annuellement devant le comité technique compétent. Ce bilan mentionne le nombre d'agents en charge du tutorat des bénéficiaires, ainsi que les modalités de prise en compte du tutorat dans l'organisation du travail de l'agent et du collectif de travail.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2025-07-29T05:51:15+00:00</dcterms:created>
  <dcterms:modified xsi:type="dcterms:W3CDTF">2025-07-29T05:51:15+00:00</dcterms:modified>
</cp:coreProperties>
</file>

<file path=docProps/custom.xml><?xml version="1.0" encoding="utf-8"?>
<Properties xmlns="http://schemas.openxmlformats.org/officeDocument/2006/custom-properties" xmlns:vt="http://schemas.openxmlformats.org/officeDocument/2006/docPropsVTypes"/>
</file>