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Loi de modernisation de la justice du XXIe siècle. Dispositions en matière de droit des personnes et de la famille. Circulaire n° JUSC1720438C du 26 juillet 2017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JUSC1720438C du 26 juillet 2017 présente diverses dispositions en matière de droit des personnes et de la famille de la loi n° 2016-1547 du 18 novembre 2016 de modernisation de la justice du XXI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siècle. Elle comprend de nombreuses annexes. </w:t>
      </w:r>
    </w:p>
    <w:p>
      <w:pPr/>
      <w:r>
        <w:rPr>
          <w:b w:val="1"/>
          <w:bCs w:val="1"/>
          <w:i w:val="1"/>
          <w:iCs w:val="1"/>
        </w:rPr>
        <w:t xml:space="preserve">Annexe 1 :</w:t>
      </w:r>
    </w:p>
    <w:p>
      <w:pPr/>
      <w:r>
        <w:rPr>
          <w:i w:val="1"/>
          <w:iCs w:val="1"/>
        </w:rPr>
        <w:t xml:space="preserve"> Tableau des mesures relatives au droit des personnes et de la famille</w:t>
      </w:r>
    </w:p>
    <w:p/>
    <w:p>
      <w:pPr/>
      <w:r>
        <w:rPr>
          <w:b w:val="1"/>
          <w:bCs w:val="1"/>
          <w:i w:val="1"/>
          <w:iCs w:val="1"/>
        </w:rPr>
        <w:t xml:space="preserve">Annexe 2 :</w:t>
      </w:r>
    </w:p>
    <w:p>
      <w:pPr/>
      <w:r>
        <w:rPr>
          <w:i w:val="1"/>
          <w:iCs w:val="1"/>
        </w:rPr>
        <w:t xml:space="preserve"> Libellé des mentions relatives à la nationalité</w:t>
      </w:r>
    </w:p>
    <w:p/>
    <w:p>
      <w:pPr/>
      <w:r>
        <w:rPr>
          <w:b w:val="1"/>
          <w:bCs w:val="1"/>
          <w:i w:val="1"/>
          <w:iCs w:val="1"/>
        </w:rPr>
        <w:t xml:space="preserve">Annexe 3-1 :</w:t>
      </w:r>
    </w:p>
    <w:p>
      <w:pPr/>
      <w:r>
        <w:rPr>
          <w:i w:val="1"/>
          <w:iCs w:val="1"/>
        </w:rPr>
        <w:t xml:space="preserve"> L'article 61-3-1 du code civil</w:t>
      </w:r>
    </w:p>
    <w:p/>
    <w:p>
      <w:pPr/>
      <w:r>
        <w:rPr>
          <w:b w:val="1"/>
          <w:bCs w:val="1"/>
          <w:i w:val="1"/>
          <w:iCs w:val="1"/>
        </w:rPr>
        <w:t xml:space="preserve">Annexe 3-2 :</w:t>
      </w:r>
    </w:p>
    <w:p>
      <w:pPr/>
      <w:r>
        <w:rPr>
          <w:i w:val="1"/>
          <w:iCs w:val="1"/>
        </w:rPr>
        <w:t xml:space="preserve"> Modèles de formulaires de demande de changement de nom</w:t>
      </w:r>
    </w:p>
    <w:p/>
    <w:p>
      <w:pPr/>
      <w:r>
        <w:rPr>
          <w:b w:val="1"/>
          <w:bCs w:val="1"/>
          <w:i w:val="1"/>
          <w:iCs w:val="1"/>
        </w:rPr>
        <w:t xml:space="preserve">Annexe 3-3 : </w:t>
      </w:r>
    </w:p>
    <w:p>
      <w:pPr/>
      <w:r>
        <w:rPr>
          <w:i w:val="1"/>
          <w:iCs w:val="1"/>
        </w:rPr>
        <w:t xml:space="preserve">Modèles de consentement des mineurs de plus de treize à leur changement de nom</w:t>
      </w:r>
    </w:p>
    <w:p/>
    <w:p>
      <w:pPr/>
      <w:r>
        <w:rPr>
          <w:b w:val="1"/>
          <w:bCs w:val="1"/>
          <w:i w:val="1"/>
          <w:iCs w:val="1"/>
        </w:rPr>
        <w:t xml:space="preserve">Annexe 3-4 : </w:t>
      </w:r>
    </w:p>
    <w:p>
      <w:pPr/>
      <w:r>
        <w:rPr>
          <w:i w:val="1"/>
          <w:iCs w:val="1"/>
        </w:rPr>
        <w:t xml:space="preserve">Modèle de décision de changement de nom d'une personne majeure et au profit d'un enfant mineur</w:t>
      </w:r>
    </w:p>
    <w:p/>
    <w:p>
      <w:pPr/>
      <w:r>
        <w:rPr>
          <w:b w:val="1"/>
          <w:bCs w:val="1"/>
          <w:i w:val="1"/>
          <w:iCs w:val="1"/>
        </w:rPr>
        <w:t xml:space="preserve">Annexe 3-5 : </w:t>
      </w:r>
    </w:p>
    <w:p>
      <w:pPr/>
      <w:r>
        <w:rPr>
          <w:i w:val="1"/>
          <w:iCs w:val="1"/>
        </w:rPr>
        <w:t xml:space="preserve">Libellé des mentions relatives au changement de nom</w:t>
      </w:r>
    </w:p>
    <w:p/>
    <w:p>
      <w:pPr/>
      <w:r>
        <w:rPr>
          <w:b w:val="1"/>
          <w:bCs w:val="1"/>
          <w:i w:val="1"/>
          <w:iCs w:val="1"/>
        </w:rPr>
        <w:t xml:space="preserve">Annexe 3-6 :</w:t>
      </w:r>
    </w:p>
    <w:p>
      <w:pPr/>
      <w:r>
        <w:rPr>
          <w:i w:val="1"/>
          <w:iCs w:val="1"/>
        </w:rPr>
        <w:t xml:space="preserve"> Lettre-type notifiant au demandeur l'autorisation au changement de nom</w:t>
      </w:r>
    </w:p>
    <w:p/>
    <w:p>
      <w:pPr/>
      <w:r>
        <w:rPr>
          <w:b w:val="1"/>
          <w:bCs w:val="1"/>
          <w:i w:val="1"/>
          <w:iCs w:val="1"/>
        </w:rPr>
        <w:t xml:space="preserve">Annexe 3-7 :</w:t>
      </w:r>
    </w:p>
    <w:p>
      <w:pPr/>
      <w:r>
        <w:rPr>
          <w:i w:val="1"/>
          <w:iCs w:val="1"/>
        </w:rPr>
        <w:t xml:space="preserve"> Lettre-type notifiant au demandeur la décision de refus du procureur de la République</w:t>
      </w:r>
    </w:p>
    <w:p/>
    <w:p>
      <w:pPr/>
      <w:r>
        <w:rPr>
          <w:b w:val="1"/>
          <w:bCs w:val="1"/>
          <w:i w:val="1"/>
          <w:iCs w:val="1"/>
        </w:rPr>
        <w:t xml:space="preserve">Annexe 3-8 :</w:t>
      </w:r>
    </w:p>
    <w:p>
      <w:pPr/>
      <w:r>
        <w:rPr>
          <w:i w:val="1"/>
          <w:iCs w:val="1"/>
        </w:rPr>
        <w:t xml:space="preserve"> L'article 61-4 (al. 2) du code civil - Reconnaissance des décisions étrangères de changement de nom et de prénom</w:t>
      </w:r>
    </w:p>
    <w:p/>
    <w:p>
      <w:pPr/>
      <w:r>
        <w:rPr>
          <w:b w:val="1"/>
          <w:bCs w:val="1"/>
          <w:i w:val="1"/>
          <w:iCs w:val="1"/>
        </w:rPr>
        <w:t xml:space="preserve">Annexe 3-9 :</w:t>
      </w:r>
    </w:p>
    <w:p>
      <w:pPr/>
      <w:r>
        <w:rPr>
          <w:i w:val="1"/>
          <w:iCs w:val="1"/>
        </w:rPr>
        <w:t xml:space="preserve"> La déclaration conjointe de changement de nom en cas d'empêchement avec modèle de procuration reçue par l'officier de l'état civil</w:t>
      </w:r>
    </w:p>
    <w:p/>
    <w:p>
      <w:pPr/>
      <w:r>
        <w:rPr>
          <w:b w:val="1"/>
          <w:bCs w:val="1"/>
          <w:i w:val="1"/>
          <w:iCs w:val="1"/>
        </w:rPr>
        <w:t xml:space="preserve">Annexe 4 :</w:t>
      </w:r>
    </w:p>
    <w:p>
      <w:pPr/>
      <w:r>
        <w:rPr>
          <w:i w:val="1"/>
          <w:iCs w:val="1"/>
        </w:rPr>
        <w:t xml:space="preserve"> La constitution du dossier de mariage et la rédaction de l'acte de décès</w:t>
      </w:r>
    </w:p>
    <w:p/>
    <w:p>
      <w:pPr/>
      <w:r>
        <w:rPr>
          <w:b w:val="1"/>
          <w:bCs w:val="1"/>
          <w:i w:val="1"/>
          <w:iCs w:val="1"/>
        </w:rPr>
        <w:t xml:space="preserve">Annexe 5 :</w:t>
      </w:r>
    </w:p>
    <w:p>
      <w:pPr/>
      <w:r>
        <w:rPr>
          <w:i w:val="1"/>
          <w:iCs w:val="1"/>
        </w:rPr>
        <w:t xml:space="preserve"> L'annulation et la rectification des actes de l'état civil</w:t>
      </w:r>
    </w:p>
    <w:p/>
    <w:p>
      <w:pPr/>
      <w:r>
        <w:rPr>
          <w:b w:val="1"/>
          <w:bCs w:val="1"/>
          <w:i w:val="1"/>
          <w:iCs w:val="1"/>
        </w:rPr>
        <w:t xml:space="preserve">Annexe 6 : </w:t>
      </w:r>
    </w:p>
    <w:p>
      <w:pPr/>
      <w:r>
        <w:rPr>
          <w:i w:val="1"/>
          <w:iCs w:val="1"/>
        </w:rPr>
        <w:t xml:space="preserve">Libellé des mentions relatives à l'annulation et la rectification des actes de l'état civil</w:t>
      </w:r>
    </w:p>
    <w:p/>
    <w:p>
      <w:pPr/>
      <w:r>
        <w:rPr>
          <w:b w:val="1"/>
          <w:bCs w:val="1"/>
          <w:i w:val="1"/>
          <w:iCs w:val="1"/>
        </w:rPr>
        <w:t xml:space="preserve">Annexe 7 :</w:t>
      </w:r>
    </w:p>
    <w:p>
      <w:pPr/>
      <w:r>
        <w:rPr>
          <w:i w:val="1"/>
          <w:iCs w:val="1"/>
        </w:rPr>
        <w:t xml:space="preserve"> Libellé des mentions de rectification des erreurs matérielles les plus fréquentes figurant sur les actes de l'état civil</w:t>
      </w:r>
    </w:p>
    <w:p/>
    <w:p>
      <w:pPr/>
      <w:r>
        <w:rPr>
          <w:b w:val="1"/>
          <w:bCs w:val="1"/>
          <w:i w:val="1"/>
          <w:iCs w:val="1"/>
        </w:rPr>
        <w:t xml:space="preserve">Annexe 8 :</w:t>
      </w:r>
    </w:p>
    <w:p>
      <w:pPr/>
      <w:r>
        <w:rPr>
          <w:i w:val="1"/>
          <w:iCs w:val="1"/>
        </w:rPr>
        <w:t xml:space="preserve"> La procédure de décision d'affectation à la célébration de mariages d'un bâtiment communal autre que celui de la maison commune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2025-07-27T09:29:51+00:00</dcterms:created>
  <dcterms:modified xsi:type="dcterms:W3CDTF">2025-07-27T09:29:51+00:00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