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Données à caractère personnel. Communication à un ayant droit (oui sous conditions)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Il résulte des dispositions des articles 2 et 39 de la loi n° 78-17 du 6 janvier 1978 relative à l'informatique, aux fichiers et aux libertés, que la communication de données à caractère personnel n'est possible qu'à la personne concernée par ces données. Par suite, la seule qualité d'ayant droit d'une personne à laquelle se rapportent des données ne confère pas la qualité de « personne concernée » par leur traitement au sens de ces dispositions. Toutefois, lorsque la victime d'un dommage décède, son droit à la réparation de ce dommage, entré dans son patrimoine, est transmis à ses héritiers, saisis de plein droit des biens, droits et actions du défunt en application du premier alinéa de l'article 724 du code civil. Par suite, lorsque la victime a engagé une action en réparation avant son décès ou lorsque ses héritiers ont ultérieurement eux-mêmes engagé une telle action, ces derniers doivent être regardés comme des « personnes concernées » au sens des articles 2 et 39 de la loi du 6 janvier 1978 pour l'exercice de leur droit d'accès aux données à caractère personnel concernant le défunt, dans la mesure nécessaire à l'établissement du préjudice que ce dernier a subi en vue de sa réparation et pour les seuls besoins de l'instance engagée (CE, 7 juin 2017, </w:t>
      </w:r>
    </w:p>
    <w:p>
      <w:pPr/>
      <w:r>
        <w:rPr>
          <w:i w:val="1"/>
          <w:iCs w:val="1"/>
        </w:rPr>
        <w:t xml:space="preserve">M. B.</w:t>
      </w:r>
    </w:p>
    <w:p>
      <w:pPr/>
      <w:r>
        <w:rPr/>
        <w:t xml:space="preserve">, n° 399446).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2025-07-27T10:23:49+00:00</dcterms:created>
  <dcterms:modified xsi:type="dcterms:W3CDTF">2025-07-27T10:23:49+00:00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