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Sous-traitance. Paiement direct. Contrôle des travaux par le maître d'ouvrage</w:t>
      </w:r>
    </w:p>
    <w:p>
      <w:pPr>
        <w:pStyle w:val="Heading2"/>
      </w:pPr>
      <w:r>
        <w:rPr/>
        <w:t xml:space="preserve">Revue - Marchés Publics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Dans l'hypothèse d'une rémunération directe du sous-traitant par le maître d'ouvrage, ce dernier peut contrôler l'exécution effective des travaux sous-traités et le montant de la créance du sous-traitant afin de s'assurer que la consistance des travaux correspond à ce qui est prévu par le marché (CE, 09.06.2017, </w:t>
      </w:r>
    </w:p>
    <w:p>
      <w:pPr/>
      <w:r>
        <w:rPr>
          <w:i w:val="1"/>
          <w:iCs w:val="1"/>
        </w:rPr>
        <w:t xml:space="preserve">société Keller Fondations Spéciales</w:t>
      </w:r>
    </w:p>
    <w:p>
      <w:pPr/>
      <w:r>
        <w:rPr/>
        <w:t xml:space="preserve">, n° 396358). 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2025-07-27T10:21:31+00:00</dcterms:created>
  <dcterms:modified xsi:type="dcterms:W3CDTF">2025-07-27T10:21:31+00:00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