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Agent en grève. Bénéfice de la protection fonctionnelle (oui)</w:t>
      </w:r>
    </w:p>
    <w:p>
      <w:pPr>
        <w:pStyle w:val="Heading2"/>
      </w:pPr>
      <w:r>
        <w:rPr/>
        <w:t xml:space="preserve">Revue - Fonction Publique Territoriale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/>
        <w:t xml:space="preserve"> Les dispositions de l'article 11 de la loi n° 83-634 du 13 juillet 1983 ne font pas obstacle à ce qu'un agent public demande à bénéficier de la protection fonctionnelle pour des faits survenus à une date à laquelle il participait à un mouvement de cessation collective et concertée du travail (grève). Il appartient alors à cet agent d'établir que les faits dont il a été victime sont en lien avec l'exercice de ses fonctions, au sens de ces mêmes dispositions (CE, 22.05.2017, </w:t>
      </w:r>
    </w:p>
    <w:p>
      <w:pPr/>
      <w:r>
        <w:rPr>
          <w:i w:val="1"/>
          <w:iCs w:val="1"/>
        </w:rPr>
        <w:t xml:space="preserve">commune de Sète</w:t>
      </w:r>
    </w:p>
    <w:p>
      <w:pPr/>
      <w:r>
        <w:rPr/>
        <w:t xml:space="preserve">, n° 396453).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2025-07-27T10:21:31+00:00</dcterms:created>
  <dcterms:modified xsi:type="dcterms:W3CDTF">2025-07-27T10:21:31+00:00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