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locale sur la publicité extérieure. Délibération institutive. Echéance du 1er juillet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Informations pratiques</w:t>
      </w:r>
    </w:p>
    <w:p/>
    <w:p>
      <w:pPr/>
      <w:r>
        <w:rPr/>
        <w:t xml:space="preserve"> Les communes peuvent, par délibération de leur conseil municipal prise avant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juillet de l’année précédant celle de l’imposition, instaurer une taxe locale sur la publicité extérieure frappant les dispositifs publicitaires dans les limites de leur territoire. Les dispositions correspondantes figurent aux </w:t>
      </w:r>
    </w:p>
    <w:p>
      <w:pPr/>
      <w:hyperlink r:id="rId7" w:history="1">
        <w:r>
          <w:rPr/>
          <w:t xml:space="preserve">articles L 2333-6 et suivants</w:t>
        </w:r>
      </w:hyperlink>
    </w:p>
    <w:p>
      <w:pPr/>
      <w:r>
        <w:rPr/>
        <w:t xml:space="preserve"> du CGCT. Un modèle de délibération figure dans la base de données.    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.do;jsessionid=E243EDE9FC1BE301D15EAD573BB0FAE6.tpdila15v_1?idSectionTA=LEGISCTA000019306581&amp;cidTexte=LEGITEXT000006070633&amp;dateTexte=201705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2025-07-27T10:21:31+00:00</dcterms:created>
  <dcterms:modified xsi:type="dcterms:W3CDTF">2025-07-27T10:21:31+00:00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