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Personne intersexuée. Rejet de la mention sexe neutre sur les actes de l’état civil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La loi française ne permet pas de faire figurer, dans les actes de l’état civil, l’indication d’un sexe autre que masculin ou féminin.</w:t>
      </w:r>
    </w:p>
    <w:p>
      <w:pPr/>
      <w:r>
        <w:rPr/>
        <w:t xml:space="preserve"> La Cour de cassation précise que : - dans les actes d’état civil, il n’existe que deux mentions relatives au sexe (« masculin » / « féminin »). Cette binarité poursuit un but légitime, car elle est nécessaire à l’organisation sociale et juridique, dont elle constitue un élément fondateur ;</w:t>
      </w:r>
    </w:p>
    <w:p/>
    <w:p>
      <w:pPr/>
      <w:r>
        <w:rPr/>
        <w:t xml:space="preserve"> - la reconnaissance par le juge d’une troisième catégorie de sexe aurait des répercussions profondes sur les règles du droit français construites à partir de la binarité des sexes et impliquerait de nombreuses modifications législatives de coordination ;</w:t>
      </w:r>
    </w:p>
    <w:p/>
    <w:p>
      <w:pPr/>
      <w:r>
        <w:rPr/>
        <w:t xml:space="preserve"> - en l'espèce, l’atteinte au droit au respect de sa vie privée n’est pas disproportionnée au regard du but légitime poursuivi : en effet, la cour d’appel a constaté que le requérant avait, aux yeux des tiers, l’apparence et le comportement social d’une personne de sexe masculin, conformément à l’indication portée dans son acte de naissance (Cass., 04.05.2017, n° 16-17189).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2025-07-28T02:41:26+00:00</dcterms:created>
  <dcterms:modified xsi:type="dcterms:W3CDTF">2025-07-28T02:41:26+00:00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