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PACS. Ecart d’âge important (oui)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Un écart d'âge important n'interdit pas le PACS. Si la loi interdit le PACS entre ascendant et descendant en ligne directe, entre alliés en ligne directe et entre collatéraux jusqu'au 3</w:t>
      </w:r>
      <w:r>
        <w:rPr>
          <w:vertAlign w:val="superscript"/>
        </w:rPr>
        <w:t xml:space="preserve">e</w:t>
      </w:r>
      <w:r>
        <w:rPr/>
        <w:t xml:space="preserve"> degré, elle n'interdit pas à deux personnes sans lien de parenté de se pacser même si elles ont entre elles une grande différence d'âge et des relations de père à fils (Cass., 08.03.2017, n° 16-18685).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2025-07-27T10:20:52+00:00</dcterms:created>
  <dcterms:modified xsi:type="dcterms:W3CDTF">2025-07-27T10:20:52+00:00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